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B9C1F">
      <w:pPr>
        <w:spacing w:line="500" w:lineRule="exact"/>
        <w:rPr>
          <w:rFonts w:hint="eastAsia" w:ascii="宋体" w:hAnsi="宋体" w:eastAsia="宋体"/>
          <w:b/>
          <w:color w:val="000000" w:themeColor="text1"/>
          <w:sz w:val="28"/>
          <w14:textFill>
            <w14:solidFill>
              <w14:schemeClr w14:val="tx1"/>
            </w14:solidFill>
          </w14:textFill>
        </w:rPr>
      </w:pPr>
    </w:p>
    <w:p w14:paraId="22F1325F">
      <w:pPr>
        <w:spacing w:line="500" w:lineRule="exact"/>
        <w:jc w:val="center"/>
        <w:rPr>
          <w:rFonts w:hint="eastAsia" w:ascii="宋体" w:hAnsi="宋体" w:eastAsia="宋体"/>
          <w:b/>
          <w:color w:val="000000" w:themeColor="text1"/>
          <w:sz w:val="36"/>
          <w14:textFill>
            <w14:solidFill>
              <w14:schemeClr w14:val="tx1"/>
            </w14:solidFill>
          </w14:textFill>
        </w:rPr>
      </w:pPr>
      <w:bookmarkStart w:id="10" w:name="_GoBack"/>
      <w:r>
        <w:rPr>
          <w:rFonts w:hint="eastAsia" w:ascii="宋体" w:hAnsi="宋体" w:eastAsia="宋体"/>
          <w:b/>
          <w:color w:val="000000" w:themeColor="text1"/>
          <w:sz w:val="36"/>
          <w14:textFill>
            <w14:solidFill>
              <w14:schemeClr w14:val="tx1"/>
            </w14:solidFill>
          </w14:textFill>
        </w:rPr>
        <w:t>化工施工工法管理办法</w:t>
      </w:r>
    </w:p>
    <w:bookmarkEnd w:id="10"/>
    <w:p w14:paraId="1A262993">
      <w:pPr>
        <w:spacing w:line="500" w:lineRule="exact"/>
        <w:jc w:val="center"/>
        <w:rPr>
          <w:rFonts w:hint="eastAsia" w:ascii="宋体" w:hAnsi="宋体" w:eastAsia="宋体"/>
          <w:bCs/>
          <w:color w:val="000000" w:themeColor="text1"/>
          <w:spacing w:val="8"/>
          <w:kern w:val="0"/>
          <w:sz w:val="28"/>
          <w:szCs w:val="28"/>
          <w14:textFill>
            <w14:solidFill>
              <w14:schemeClr w14:val="tx1"/>
            </w14:solidFill>
          </w14:textFill>
        </w:rPr>
      </w:pPr>
      <w:r>
        <w:rPr>
          <w:rFonts w:hint="eastAsia" w:ascii="宋体" w:hAnsi="宋体" w:eastAsia="宋体"/>
          <w:bCs/>
          <w:color w:val="000000" w:themeColor="text1"/>
          <w:spacing w:val="8"/>
          <w:kern w:val="0"/>
          <w:sz w:val="28"/>
          <w:szCs w:val="28"/>
          <w14:textFill>
            <w14:solidFill>
              <w14:schemeClr w14:val="tx1"/>
            </w14:solidFill>
          </w14:textFill>
        </w:rPr>
        <w:t>（2026年9月30日修订）</w:t>
      </w:r>
    </w:p>
    <w:p w14:paraId="4515B5AF">
      <w:pPr>
        <w:spacing w:line="500" w:lineRule="exact"/>
        <w:rPr>
          <w:rFonts w:hint="eastAsia" w:ascii="宋体" w:hAnsi="宋体" w:eastAsia="宋体"/>
          <w:bCs/>
          <w:color w:val="000000" w:themeColor="text1"/>
          <w:spacing w:val="8"/>
          <w:kern w:val="0"/>
          <w:sz w:val="28"/>
          <w:szCs w:val="28"/>
          <w14:textFill>
            <w14:solidFill>
              <w14:schemeClr w14:val="tx1"/>
            </w14:solidFill>
          </w14:textFill>
        </w:rPr>
      </w:pPr>
    </w:p>
    <w:p w14:paraId="6CE7C6C6">
      <w:pPr>
        <w:adjustRightInd w:val="0"/>
        <w:spacing w:line="500" w:lineRule="exact"/>
        <w:jc w:val="center"/>
        <w:rPr>
          <w:rFonts w:hint="eastAsia" w:ascii="宋体" w:hAnsi="宋体" w:eastAsia="宋体"/>
          <w:b/>
          <w:color w:val="000000" w:themeColor="text1"/>
          <w:sz w:val="28"/>
          <w14:textFill>
            <w14:solidFill>
              <w14:schemeClr w14:val="tx1"/>
            </w14:solidFill>
          </w14:textFill>
        </w:rPr>
      </w:pPr>
      <w:r>
        <w:rPr>
          <w:rFonts w:hint="eastAsia" w:ascii="宋体" w:hAnsi="宋体" w:eastAsia="宋体"/>
          <w:b/>
          <w:color w:val="000000" w:themeColor="text1"/>
          <w:sz w:val="28"/>
          <w14:textFill>
            <w14:solidFill>
              <w14:schemeClr w14:val="tx1"/>
            </w14:solidFill>
          </w14:textFill>
        </w:rPr>
        <w:t>第一章  总  则</w:t>
      </w:r>
    </w:p>
    <w:p w14:paraId="12C18FB8">
      <w:pPr>
        <w:pStyle w:val="4"/>
        <w:shd w:val="clear" w:color="auto" w:fill="FFFFFF"/>
        <w:spacing w:line="500" w:lineRule="exact"/>
        <w:ind w:firstLine="592" w:firstLineChars="200"/>
        <w:contextualSpacing/>
        <w:rPr>
          <w:rFonts w:hint="eastAsia" w:ascii="宋体" w:hAnsi="宋体" w:eastAsia="宋体"/>
          <w:b/>
          <w:bCs/>
          <w:color w:val="000000" w:themeColor="text1"/>
          <w:spacing w:val="8"/>
          <w:sz w:val="28"/>
          <w:szCs w:val="28"/>
          <w14:textFill>
            <w14:solidFill>
              <w14:schemeClr w14:val="tx1"/>
            </w14:solidFill>
          </w14:textFill>
        </w:rPr>
      </w:pPr>
      <w:r>
        <w:rPr>
          <w:rFonts w:ascii="宋体" w:hAnsi="宋体" w:eastAsia="宋体"/>
          <w:bCs/>
          <w:color w:val="000000" w:themeColor="text1"/>
          <w:spacing w:val="8"/>
          <w:sz w:val="28"/>
          <w:szCs w:val="28"/>
          <w14:textFill>
            <w14:solidFill>
              <w14:schemeClr w14:val="tx1"/>
            </w14:solidFill>
          </w14:textFill>
        </w:rPr>
        <w:t>第一条  为推动化工施工工法的开发与应用，引导企业强化技术创新与技术积累，提</w:t>
      </w:r>
      <w:bookmarkStart w:id="0" w:name="OLE_LINK3"/>
      <w:r>
        <w:rPr>
          <w:rFonts w:ascii="宋体" w:hAnsi="宋体" w:eastAsia="宋体"/>
          <w:bCs/>
          <w:color w:val="000000" w:themeColor="text1"/>
          <w:spacing w:val="8"/>
          <w:sz w:val="28"/>
          <w:szCs w:val="28"/>
          <w14:textFill>
            <w14:solidFill>
              <w14:schemeClr w14:val="tx1"/>
            </w14:solidFill>
          </w14:textFill>
        </w:rPr>
        <w:t>升化工行业施工技术管理水平与工程项目科技含量，规范化工施工工法的管理，参照</w:t>
      </w:r>
      <w:r>
        <w:rPr>
          <w:rFonts w:ascii="宋体" w:hAnsi="宋体" w:eastAsia="宋体" w:cs="Arial"/>
          <w:bCs/>
          <w:color w:val="000000" w:themeColor="text1"/>
          <w:sz w:val="28"/>
          <w:szCs w:val="28"/>
          <w:shd w:val="clear" w:color="auto" w:fill="FFFFFF"/>
          <w14:textFill>
            <w14:solidFill>
              <w14:schemeClr w14:val="tx1"/>
            </w14:solidFill>
          </w14:textFill>
        </w:rPr>
        <w:t>住房城乡建设部</w:t>
      </w:r>
      <w:r>
        <w:rPr>
          <w:rFonts w:ascii="宋体" w:hAnsi="宋体" w:eastAsia="宋体"/>
          <w:bCs/>
          <w:color w:val="000000" w:themeColor="text1"/>
          <w:spacing w:val="8"/>
          <w:sz w:val="28"/>
          <w:szCs w:val="28"/>
          <w14:textFill>
            <w14:solidFill>
              <w14:schemeClr w14:val="tx1"/>
            </w14:solidFill>
          </w14:textFill>
        </w:rPr>
        <w:t>《工</w:t>
      </w:r>
      <w:bookmarkEnd w:id="0"/>
      <w:r>
        <w:rPr>
          <w:rFonts w:ascii="宋体" w:hAnsi="宋体" w:eastAsia="宋体"/>
          <w:bCs/>
          <w:color w:val="000000" w:themeColor="text1"/>
          <w:spacing w:val="8"/>
          <w:sz w:val="28"/>
          <w:szCs w:val="28"/>
          <w14:textFill>
            <w14:solidFill>
              <w14:schemeClr w14:val="tx1"/>
            </w14:solidFill>
          </w14:textFill>
        </w:rPr>
        <w:t>程建设工法管理办法》（建质[2014]103号），</w:t>
      </w:r>
      <w:r>
        <w:rPr>
          <w:rFonts w:ascii="宋体" w:hAnsi="宋体" w:eastAsia="宋体"/>
          <w:bCs/>
          <w:color w:val="000000" w:themeColor="text1"/>
          <w:sz w:val="28"/>
          <w:szCs w:val="28"/>
          <w14:textFill>
            <w14:solidFill>
              <w14:schemeClr w14:val="tx1"/>
            </w14:solidFill>
          </w14:textFill>
        </w:rPr>
        <w:t>结合化工建设行业的实际，</w:t>
      </w:r>
      <w:r>
        <w:rPr>
          <w:rFonts w:ascii="宋体" w:hAnsi="宋体" w:eastAsia="宋体"/>
          <w:bCs/>
          <w:color w:val="000000" w:themeColor="text1"/>
          <w:spacing w:val="8"/>
          <w:sz w:val="28"/>
          <w:szCs w:val="28"/>
          <w14:textFill>
            <w14:solidFill>
              <w14:schemeClr w14:val="tx1"/>
            </w14:solidFill>
          </w14:textFill>
        </w:rPr>
        <w:t>制定本办法。</w:t>
      </w:r>
    </w:p>
    <w:p w14:paraId="26B34E00">
      <w:pPr>
        <w:pStyle w:val="4"/>
        <w:shd w:val="clear" w:color="auto" w:fill="FFFFFF"/>
        <w:spacing w:line="500" w:lineRule="exact"/>
        <w:ind w:firstLine="592" w:firstLineChars="200"/>
        <w:contextualSpacing/>
        <w:rPr>
          <w:rFonts w:hint="eastAsia" w:ascii="宋体" w:hAnsi="宋体" w:eastAsia="宋体"/>
          <w:b/>
          <w:bCs/>
          <w:color w:val="000000" w:themeColor="text1"/>
          <w:spacing w:val="8"/>
          <w:sz w:val="28"/>
          <w:szCs w:val="28"/>
          <w14:textFill>
            <w14:solidFill>
              <w14:schemeClr w14:val="tx1"/>
            </w14:solidFill>
          </w14:textFill>
        </w:rPr>
      </w:pPr>
      <w:r>
        <w:rPr>
          <w:rFonts w:ascii="宋体" w:hAnsi="宋体" w:eastAsia="宋体"/>
          <w:bCs/>
          <w:color w:val="000000" w:themeColor="text1"/>
          <w:spacing w:val="8"/>
          <w:sz w:val="28"/>
          <w:szCs w:val="28"/>
          <w14:textFill>
            <w14:solidFill>
              <w14:schemeClr w14:val="tx1"/>
            </w14:solidFill>
          </w14:textFill>
        </w:rPr>
        <w:t>第二条  本办法适用于化工施工工法的开发、申报、评审认定及成果全流程管理。</w:t>
      </w:r>
    </w:p>
    <w:p w14:paraId="47C42CC4">
      <w:pPr>
        <w:pStyle w:val="4"/>
        <w:shd w:val="clear" w:color="auto" w:fill="FFFFFF"/>
        <w:spacing w:line="500" w:lineRule="exact"/>
        <w:ind w:firstLine="592" w:firstLineChars="200"/>
        <w:contextualSpacing/>
        <w:rPr>
          <w:rFonts w:hint="eastAsia" w:ascii="宋体" w:hAnsi="宋体" w:eastAsia="宋体" w:cs="宋体"/>
          <w:b/>
          <w:bCs/>
          <w:color w:val="000000" w:themeColor="text1"/>
          <w:spacing w:val="8"/>
          <w:sz w:val="28"/>
          <w:szCs w:val="28"/>
          <w14:textFill>
            <w14:solidFill>
              <w14:schemeClr w14:val="tx1"/>
            </w14:solidFill>
          </w14:textFill>
        </w:rPr>
      </w:pPr>
      <w:r>
        <w:rPr>
          <w:rFonts w:ascii="宋体" w:hAnsi="宋体" w:eastAsia="宋体" w:cs="宋体"/>
          <w:bCs/>
          <w:color w:val="000000" w:themeColor="text1"/>
          <w:spacing w:val="8"/>
          <w:sz w:val="28"/>
          <w:szCs w:val="28"/>
          <w14:textFill>
            <w14:solidFill>
              <w14:schemeClr w14:val="tx1"/>
            </w14:solidFill>
          </w14:textFill>
        </w:rPr>
        <w:t>第三条  本办法所称的工法，是指以工程为对象，以工艺为核心，运用系统工程的原理，把先进技术和科学管理结合起来，经过工程实践形成的综合配套的施工方法。</w:t>
      </w:r>
    </w:p>
    <w:p w14:paraId="4BF64214">
      <w:pPr>
        <w:adjustRightInd w:val="0"/>
        <w:spacing w:line="500" w:lineRule="exact"/>
        <w:ind w:firstLine="592" w:firstLineChars="200"/>
        <w:contextualSpacing/>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第四条  工法应符合国家工程建设方针政策，遵守国家、行业和地方工程建设的标准、规范，具备先进性、科学性和实用性，能够保证工程质量和安全，具有提高施工效率，降低工程成本，节约资源和保护环境等特点。</w:t>
      </w:r>
    </w:p>
    <w:p w14:paraId="4151E22A">
      <w:pPr>
        <w:adjustRightInd w:val="0"/>
        <w:spacing w:line="500" w:lineRule="exact"/>
        <w:ind w:firstLine="560"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 xml:space="preserve">第五条  </w:t>
      </w:r>
      <w:bookmarkStart w:id="1" w:name="OLE_LINK5"/>
      <w:r>
        <w:rPr>
          <w:rFonts w:hint="eastAsia" w:ascii="宋体" w:hAnsi="宋体" w:eastAsia="宋体"/>
          <w:color w:val="000000" w:themeColor="text1"/>
          <w:sz w:val="28"/>
          <w14:textFill>
            <w14:solidFill>
              <w14:schemeClr w14:val="tx1"/>
            </w14:solidFill>
          </w14:textFill>
        </w:rPr>
        <w:t>申报</w:t>
      </w:r>
      <w:bookmarkEnd w:id="1"/>
      <w:r>
        <w:rPr>
          <w:rFonts w:hint="eastAsia" w:ascii="宋体" w:hAnsi="宋体" w:eastAsia="宋体" w:cs="宋体"/>
          <w:color w:val="000000" w:themeColor="text1"/>
          <w:spacing w:val="8"/>
          <w:sz w:val="28"/>
          <w:szCs w:val="28"/>
          <w14:textFill>
            <w14:solidFill>
              <w14:schemeClr w14:val="tx1"/>
            </w14:solidFill>
          </w14:textFill>
        </w:rPr>
        <w:t>化工施工工法</w:t>
      </w:r>
      <w:r>
        <w:rPr>
          <w:rFonts w:hint="eastAsia" w:ascii="宋体" w:hAnsi="宋体" w:eastAsia="宋体"/>
          <w:color w:val="000000" w:themeColor="text1"/>
          <w:sz w:val="28"/>
          <w14:textFill>
            <w14:solidFill>
              <w14:schemeClr w14:val="tx1"/>
            </w14:solidFill>
          </w14:textFill>
        </w:rPr>
        <w:t>遵循企业自愿原则，每项工法仅限一家施工企业作为申报单位，主要完成人不超过5名。申报单位应是该工法开发应用的主要完成单位。工法的关键技术应达到国内行业领先及</w:t>
      </w:r>
      <w:r>
        <w:rPr>
          <w:rFonts w:hint="eastAsia" w:ascii="宋体" w:hAnsi="宋体" w:eastAsia="宋体" w:cs="宋体"/>
          <w:color w:val="000000" w:themeColor="text1"/>
          <w:spacing w:val="8"/>
          <w:sz w:val="28"/>
          <w:szCs w:val="28"/>
          <w14:textFill>
            <w14:solidFill>
              <w14:schemeClr w14:val="tx1"/>
            </w14:solidFill>
          </w14:textFill>
        </w:rPr>
        <w:t>以上</w:t>
      </w:r>
      <w:r>
        <w:rPr>
          <w:rFonts w:hint="eastAsia" w:ascii="宋体" w:hAnsi="宋体" w:eastAsia="宋体"/>
          <w:color w:val="000000" w:themeColor="text1"/>
          <w:sz w:val="28"/>
          <w14:textFill>
            <w14:solidFill>
              <w14:schemeClr w14:val="tx1"/>
            </w14:solidFill>
          </w14:textFill>
        </w:rPr>
        <w:t>水平。</w:t>
      </w:r>
    </w:p>
    <w:p w14:paraId="7D5E4A7C">
      <w:pPr>
        <w:adjustRightInd w:val="0"/>
        <w:spacing w:line="500" w:lineRule="exact"/>
        <w:ind w:firstLine="560"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第六条  化工施工工法每两年组织一次评审，对评审通过的工法，择优推荐申报国家级工法。</w:t>
      </w:r>
    </w:p>
    <w:p w14:paraId="255C6019">
      <w:pPr>
        <w:adjustRightInd w:val="0"/>
        <w:spacing w:line="500" w:lineRule="exact"/>
        <w:ind w:firstLine="560"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第七条  中国化工建设企业协会（以下简称“协会”）负责化工施工工法的评审及相关组织管理工作。</w:t>
      </w:r>
    </w:p>
    <w:p w14:paraId="63DF6C08">
      <w:pPr>
        <w:adjustRightInd w:val="0"/>
        <w:spacing w:line="500" w:lineRule="exact"/>
        <w:jc w:val="center"/>
        <w:rPr>
          <w:rFonts w:hint="eastAsia" w:ascii="宋体" w:hAnsi="宋体" w:eastAsia="宋体"/>
          <w:b/>
          <w:color w:val="000000" w:themeColor="text1"/>
          <w:sz w:val="28"/>
          <w14:textFill>
            <w14:solidFill>
              <w14:schemeClr w14:val="tx1"/>
            </w14:solidFill>
          </w14:textFill>
        </w:rPr>
      </w:pPr>
      <w:r>
        <w:rPr>
          <w:rFonts w:hint="eastAsia" w:ascii="宋体" w:hAnsi="宋体" w:eastAsia="宋体"/>
          <w:b/>
          <w:color w:val="000000" w:themeColor="text1"/>
          <w:sz w:val="28"/>
          <w14:textFill>
            <w14:solidFill>
              <w14:schemeClr w14:val="tx1"/>
            </w14:solidFill>
          </w14:textFill>
        </w:rPr>
        <w:t>第二章 工法的申报</w:t>
      </w:r>
    </w:p>
    <w:p w14:paraId="0D405DA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第八条  工法申报条件：</w:t>
      </w:r>
    </w:p>
    <w:p w14:paraId="795594F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(一)已获得企业级工法；</w:t>
      </w:r>
    </w:p>
    <w:p w14:paraId="63411555">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(二)工法的关键技术经过全国性</w:t>
      </w:r>
      <w:r>
        <w:rPr>
          <w:rFonts w:ascii="宋体" w:hAnsi="宋体" w:eastAsia="宋体" w:cs="宋体"/>
          <w:color w:val="000000" w:themeColor="text1"/>
          <w:spacing w:val="8"/>
          <w:sz w:val="28"/>
          <w:szCs w:val="28"/>
          <w14:textFill>
            <w14:solidFill>
              <w14:schemeClr w14:val="tx1"/>
            </w14:solidFill>
          </w14:textFill>
        </w:rPr>
        <w:t>行业工程建设协会（学会）、各省（自治区、直辖市及计划单列市）工程建设</w:t>
      </w:r>
      <w:r>
        <w:rPr>
          <w:rFonts w:hint="eastAsia" w:ascii="宋体" w:hAnsi="宋体" w:eastAsia="宋体" w:cs="宋体"/>
          <w:color w:val="000000" w:themeColor="text1"/>
          <w:spacing w:val="8"/>
          <w:sz w:val="28"/>
          <w:szCs w:val="28"/>
          <w14:textFill>
            <w14:solidFill>
              <w14:schemeClr w14:val="tx1"/>
            </w14:solidFill>
          </w14:textFill>
        </w:rPr>
        <w:t>类</w:t>
      </w:r>
      <w:r>
        <w:rPr>
          <w:rFonts w:ascii="宋体" w:hAnsi="宋体" w:eastAsia="宋体" w:cs="宋体"/>
          <w:color w:val="000000" w:themeColor="text1"/>
          <w:spacing w:val="8"/>
          <w:sz w:val="28"/>
          <w:szCs w:val="28"/>
          <w14:textFill>
            <w14:solidFill>
              <w14:schemeClr w14:val="tx1"/>
            </w14:solidFill>
          </w14:textFill>
        </w:rPr>
        <w:t>协会组织的科技成果</w:t>
      </w:r>
      <w:r>
        <w:rPr>
          <w:rFonts w:hint="eastAsia" w:ascii="宋体" w:hAnsi="宋体" w:eastAsia="宋体" w:cs="宋体"/>
          <w:color w:val="000000" w:themeColor="text1"/>
          <w:spacing w:val="8"/>
          <w:sz w:val="28"/>
          <w:szCs w:val="28"/>
          <w14:textFill>
            <w14:solidFill>
              <w14:schemeClr w14:val="tx1"/>
            </w14:solidFill>
          </w14:textFill>
        </w:rPr>
        <w:t>鉴定</w:t>
      </w:r>
      <w:bookmarkStart w:id="2" w:name="OLE_LINK4"/>
      <w:r>
        <w:rPr>
          <w:rFonts w:hint="eastAsia" w:ascii="宋体" w:hAnsi="宋体" w:eastAsia="宋体" w:cs="宋体"/>
          <w:color w:val="000000" w:themeColor="text1"/>
          <w:spacing w:val="8"/>
          <w:sz w:val="28"/>
          <w:szCs w:val="28"/>
          <w14:textFill>
            <w14:solidFill>
              <w14:schemeClr w14:val="tx1"/>
            </w14:solidFill>
          </w14:textFill>
        </w:rPr>
        <w:t>；</w:t>
      </w:r>
      <w:r>
        <w:rPr>
          <w:rFonts w:ascii="宋体" w:hAnsi="宋体" w:eastAsia="宋体" w:cs="宋体"/>
          <w:color w:val="000000" w:themeColor="text1"/>
          <w:spacing w:val="8"/>
          <w:sz w:val="28"/>
          <w:szCs w:val="28"/>
          <w14:textFill>
            <w14:solidFill>
              <w14:schemeClr w14:val="tx1"/>
            </w14:solidFill>
          </w14:textFill>
        </w:rPr>
        <w:t>国务院国资委监督管理的中央企业</w:t>
      </w:r>
      <w:r>
        <w:rPr>
          <w:rFonts w:hint="eastAsia" w:ascii="宋体" w:hAnsi="宋体" w:eastAsia="宋体" w:cs="宋体"/>
          <w:color w:val="000000" w:themeColor="text1"/>
          <w:spacing w:val="8"/>
          <w:sz w:val="28"/>
          <w:szCs w:val="28"/>
          <w14:textFill>
            <w14:solidFill>
              <w14:schemeClr w14:val="tx1"/>
            </w14:solidFill>
          </w14:textFill>
        </w:rPr>
        <w:t>，</w:t>
      </w:r>
      <w:r>
        <w:rPr>
          <w:rFonts w:ascii="宋体" w:hAnsi="宋体" w:eastAsia="宋体" w:cs="宋体"/>
          <w:color w:val="000000" w:themeColor="text1"/>
          <w:spacing w:val="8"/>
          <w:sz w:val="28"/>
          <w:szCs w:val="28"/>
          <w14:textFill>
            <w14:solidFill>
              <w14:schemeClr w14:val="tx1"/>
            </w14:solidFill>
          </w14:textFill>
        </w:rPr>
        <w:t>可自行组织科技成果</w:t>
      </w:r>
      <w:r>
        <w:rPr>
          <w:rFonts w:hint="eastAsia" w:ascii="宋体" w:hAnsi="宋体" w:eastAsia="宋体" w:cs="宋体"/>
          <w:color w:val="000000" w:themeColor="text1"/>
          <w:spacing w:val="8"/>
          <w:sz w:val="28"/>
          <w:szCs w:val="28"/>
          <w14:textFill>
            <w14:solidFill>
              <w14:schemeClr w14:val="tx1"/>
            </w14:solidFill>
          </w14:textFill>
        </w:rPr>
        <w:t>鉴定</w:t>
      </w:r>
      <w:bookmarkEnd w:id="2"/>
      <w:r>
        <w:rPr>
          <w:rFonts w:hint="eastAsia" w:ascii="宋体" w:hAnsi="宋体" w:eastAsia="宋体" w:cs="宋体"/>
          <w:color w:val="000000" w:themeColor="text1"/>
          <w:spacing w:val="8"/>
          <w:sz w:val="28"/>
          <w:szCs w:val="28"/>
          <w14:textFill>
            <w14:solidFill>
              <w14:schemeClr w14:val="tx1"/>
            </w14:solidFill>
          </w14:textFill>
        </w:rPr>
        <w:t>；整体水平达到国内行业领先及以上水平；</w:t>
      </w:r>
    </w:p>
    <w:p w14:paraId="52DC47E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(三)工法经过2</w:t>
      </w:r>
      <w:bookmarkStart w:id="3" w:name="OLE_LINK1"/>
      <w:r>
        <w:rPr>
          <w:rFonts w:hint="eastAsia" w:ascii="宋体" w:hAnsi="宋体" w:eastAsia="宋体" w:cs="宋体"/>
          <w:color w:val="000000" w:themeColor="text1"/>
          <w:spacing w:val="8"/>
          <w:sz w:val="28"/>
          <w:szCs w:val="28"/>
          <w14:textFill>
            <w14:solidFill>
              <w14:schemeClr w14:val="tx1"/>
            </w14:solidFill>
          </w14:textFill>
        </w:rPr>
        <w:t>项及以上工程实际应用，经济</w:t>
      </w:r>
      <w:bookmarkEnd w:id="3"/>
      <w:r>
        <w:rPr>
          <w:rFonts w:hint="eastAsia" w:ascii="宋体" w:hAnsi="宋体" w:eastAsia="宋体" w:cs="宋体"/>
          <w:color w:val="000000" w:themeColor="text1"/>
          <w:spacing w:val="8"/>
          <w:sz w:val="28"/>
          <w:szCs w:val="28"/>
          <w14:textFill>
            <w14:solidFill>
              <w14:schemeClr w14:val="tx1"/>
            </w14:solidFill>
          </w14:textFill>
        </w:rPr>
        <w:t>效益和社会效益显著；</w:t>
      </w:r>
    </w:p>
    <w:p w14:paraId="67BF4394">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(四)工法的整体技术必须是申报单位自行研制开发或会同其他单位联合研制开发；</w:t>
      </w:r>
    </w:p>
    <w:p w14:paraId="2F907CBA">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（五）工法编写内容齐全完整，</w:t>
      </w:r>
      <w:r>
        <w:rPr>
          <w:rFonts w:hint="eastAsia" w:ascii="宋体" w:hAnsi="宋体" w:eastAsia="宋体" w:cs="宋体"/>
          <w:color w:val="000000" w:themeColor="text1"/>
          <w:sz w:val="28"/>
          <w:szCs w:val="28"/>
          <w14:textFill>
            <w14:solidFill>
              <w14:schemeClr w14:val="tx1"/>
            </w14:solidFill>
          </w14:textFill>
        </w:rPr>
        <w:t>符合《国家级工法编写与申报指南》的基本要求。</w:t>
      </w:r>
    </w:p>
    <w:p w14:paraId="550DBDFE">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第九条  工法编写内容应包括：</w:t>
      </w:r>
    </w:p>
    <w:p w14:paraId="0B3E8BA0">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(一)前言：概述本工法的形成过程和关键技术鉴定及获奖情况等；</w:t>
      </w:r>
    </w:p>
    <w:p w14:paraId="797F1E23">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(二)特点：阐述本工法在使用功能或施工方法上的特点；</w:t>
      </w:r>
    </w:p>
    <w:p w14:paraId="1CB41A94">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(三)适用范围：明确适宜采用本工法的工程对象或工程部位；</w:t>
      </w:r>
    </w:p>
    <w:p w14:paraId="446C6EF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(四)工艺原理：阐述本工法的施工工艺原理；</w:t>
      </w:r>
    </w:p>
    <w:p w14:paraId="0EE9D35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(五)工艺流程及操作要点：说明工艺流程和实施方法；</w:t>
      </w:r>
    </w:p>
    <w:p w14:paraId="3B5DBA1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(六)材料与设备：说明本工法使用新材料的特点，主要技术指标等；列明主要施工机械、设备、工具仪器等的名称、型号、性能及合理的配置数量；</w:t>
      </w:r>
    </w:p>
    <w:p w14:paraId="15B936D6">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(七)质量控制：明确本工法应执行的有关标准、规范及具体的质量要求；</w:t>
      </w:r>
    </w:p>
    <w:p w14:paraId="7D797CD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(八)安全措施：列明安全技术措施和作业人员安全注意事项；</w:t>
      </w:r>
    </w:p>
    <w:p w14:paraId="38B740C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(九)环保措施：说明环保要求的特点和注意事项；</w:t>
      </w:r>
    </w:p>
    <w:p w14:paraId="693D4272">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(十)效益分析：从工程实践效果分析本工法在质量、安全、工期、成本、文明施工、节约资源、保护环境等方面的经济效益和社会效益；</w:t>
      </w:r>
    </w:p>
    <w:p w14:paraId="6E2B110A">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(十一)应用实例：列明本工法应用的项目名称、地点、开竣工日期、实物工程量和应用数量。</w:t>
      </w:r>
    </w:p>
    <w:p w14:paraId="05398F9E">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第十条  申报资料应包括：</w:t>
      </w:r>
    </w:p>
    <w:p w14:paraId="0C4751EE">
      <w:pPr>
        <w:adjustRightInd w:val="0"/>
        <w:spacing w:line="500" w:lineRule="exact"/>
        <w:ind w:firstLine="592"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(一)</w:t>
      </w:r>
      <w:r>
        <w:rPr>
          <w:rFonts w:hint="eastAsia" w:ascii="宋体" w:hAnsi="宋体" w:eastAsia="宋体"/>
          <w:color w:val="000000" w:themeColor="text1"/>
          <w:sz w:val="28"/>
          <w14:textFill>
            <w14:solidFill>
              <w14:schemeClr w14:val="tx1"/>
            </w14:solidFill>
          </w14:textFill>
        </w:rPr>
        <w:t xml:space="preserve"> 《化工施工工法申报表》；</w:t>
      </w:r>
    </w:p>
    <w:p w14:paraId="271ECD6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 xml:space="preserve">(二) </w:t>
      </w:r>
      <w:r>
        <w:rPr>
          <w:rFonts w:hint="eastAsia" w:ascii="宋体" w:hAnsi="宋体" w:eastAsia="宋体"/>
          <w:color w:val="000000" w:themeColor="text1"/>
          <w:sz w:val="28"/>
          <w14:textFill>
            <w14:solidFill>
              <w14:schemeClr w14:val="tx1"/>
            </w14:solidFill>
          </w14:textFill>
        </w:rPr>
        <w:t>工法完整的文本材料；</w:t>
      </w:r>
    </w:p>
    <w:p w14:paraId="63BB069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(三) 企业级工法的批准文件复印件；</w:t>
      </w:r>
    </w:p>
    <w:p w14:paraId="18F8B9B5">
      <w:pPr>
        <w:adjustRightInd w:val="0"/>
        <w:spacing w:line="500" w:lineRule="exact"/>
        <w:ind w:firstLine="444" w:firstLineChars="15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（四）工法关键技术成果鉴定证书复印件；</w:t>
      </w:r>
    </w:p>
    <w:p w14:paraId="18F908FB">
      <w:pPr>
        <w:adjustRightInd w:val="0"/>
        <w:spacing w:line="500" w:lineRule="exact"/>
        <w:ind w:firstLine="444" w:firstLineChars="15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（五）关键技术属于填补国内空白的，需提交科技查新报告复印件；</w:t>
      </w:r>
    </w:p>
    <w:p w14:paraId="24DA4FD0">
      <w:pPr>
        <w:adjustRightInd w:val="0"/>
        <w:spacing w:line="500" w:lineRule="exact"/>
        <w:ind w:firstLine="444" w:firstLineChars="15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（六）相关专利证书、科技成果奖励证明复印件；</w:t>
      </w:r>
    </w:p>
    <w:p w14:paraId="6634B51A">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(七) 工程应用实例情况证明；</w:t>
      </w:r>
    </w:p>
    <w:p w14:paraId="0F149EC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(八) 经济效益证明；</w:t>
      </w:r>
    </w:p>
    <w:p w14:paraId="251C2D8F">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(九) 有关影像等其它证明材料。</w:t>
      </w:r>
    </w:p>
    <w:p w14:paraId="450C84B1">
      <w:pPr>
        <w:adjustRightInd w:val="0"/>
        <w:spacing w:line="500" w:lineRule="exact"/>
        <w:ind w:firstLine="560"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第十一条  申报</w:t>
      </w:r>
      <w:r>
        <w:rPr>
          <w:rFonts w:hint="eastAsia" w:ascii="宋体" w:hAnsi="宋体" w:eastAsia="宋体" w:cs="宋体"/>
          <w:color w:val="000000" w:themeColor="text1"/>
          <w:spacing w:val="8"/>
          <w:sz w:val="28"/>
          <w:szCs w:val="28"/>
          <w14:textFill>
            <w14:solidFill>
              <w14:schemeClr w14:val="tx1"/>
            </w14:solidFill>
          </w14:textFill>
        </w:rPr>
        <w:t>化工施工工法</w:t>
      </w:r>
      <w:r>
        <w:rPr>
          <w:rFonts w:hint="eastAsia" w:ascii="宋体" w:hAnsi="宋体" w:eastAsia="宋体"/>
          <w:color w:val="000000" w:themeColor="text1"/>
          <w:sz w:val="28"/>
          <w14:textFill>
            <w14:solidFill>
              <w14:schemeClr w14:val="tx1"/>
            </w14:solidFill>
          </w14:textFill>
        </w:rPr>
        <w:t>应如实填写《化工施工工法申报表》（见附件1），并加盖单位公章，全部申报材料用A4纸打印，装订成册后一并报送。</w:t>
      </w:r>
    </w:p>
    <w:p w14:paraId="0C4B478E">
      <w:pPr>
        <w:adjustRightInd w:val="0"/>
        <w:spacing w:line="500" w:lineRule="exact"/>
        <w:ind w:firstLine="560"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第十二条  凡获得过省级或其它部级工法评选的项目，不再参加</w:t>
      </w:r>
      <w:r>
        <w:rPr>
          <w:rFonts w:hint="eastAsia" w:ascii="宋体" w:hAnsi="宋体" w:eastAsia="宋体" w:cs="宋体"/>
          <w:color w:val="000000" w:themeColor="text1"/>
          <w:spacing w:val="8"/>
          <w:sz w:val="28"/>
          <w:szCs w:val="28"/>
          <w14:textFill>
            <w14:solidFill>
              <w14:schemeClr w14:val="tx1"/>
            </w14:solidFill>
          </w14:textFill>
        </w:rPr>
        <w:t>化工施工工法</w:t>
      </w:r>
      <w:r>
        <w:rPr>
          <w:rFonts w:hint="eastAsia" w:ascii="宋体" w:hAnsi="宋体" w:eastAsia="宋体"/>
          <w:color w:val="000000" w:themeColor="text1"/>
          <w:sz w:val="28"/>
          <w14:textFill>
            <w14:solidFill>
              <w14:schemeClr w14:val="tx1"/>
            </w14:solidFill>
          </w14:textFill>
        </w:rPr>
        <w:t>的评选。</w:t>
      </w:r>
    </w:p>
    <w:p w14:paraId="5E42CB54">
      <w:pPr>
        <w:adjustRightInd w:val="0"/>
        <w:spacing w:line="500" w:lineRule="exact"/>
        <w:jc w:val="center"/>
        <w:rPr>
          <w:rFonts w:hint="eastAsia" w:ascii="宋体" w:hAnsi="宋体" w:eastAsia="宋体"/>
          <w:b/>
          <w:color w:val="000000" w:themeColor="text1"/>
          <w:sz w:val="28"/>
          <w14:textFill>
            <w14:solidFill>
              <w14:schemeClr w14:val="tx1"/>
            </w14:solidFill>
          </w14:textFill>
        </w:rPr>
      </w:pPr>
      <w:bookmarkStart w:id="4" w:name="2_3"/>
      <w:bookmarkEnd w:id="4"/>
      <w:bookmarkStart w:id="5" w:name="sub436047_2_3"/>
      <w:bookmarkEnd w:id="5"/>
    </w:p>
    <w:p w14:paraId="3F04D07A">
      <w:pPr>
        <w:adjustRightInd w:val="0"/>
        <w:spacing w:line="500" w:lineRule="exact"/>
        <w:jc w:val="center"/>
        <w:rPr>
          <w:rFonts w:hint="eastAsia" w:ascii="宋体" w:hAnsi="宋体" w:eastAsia="宋体"/>
          <w:b/>
          <w:color w:val="000000" w:themeColor="text1"/>
          <w:sz w:val="28"/>
          <w14:textFill>
            <w14:solidFill>
              <w14:schemeClr w14:val="tx1"/>
            </w14:solidFill>
          </w14:textFill>
        </w:rPr>
      </w:pPr>
      <w:r>
        <w:rPr>
          <w:rFonts w:hint="eastAsia" w:ascii="宋体" w:hAnsi="宋体" w:eastAsia="宋体"/>
          <w:b/>
          <w:color w:val="000000" w:themeColor="text1"/>
          <w:sz w:val="28"/>
          <w14:textFill>
            <w14:solidFill>
              <w14:schemeClr w14:val="tx1"/>
            </w14:solidFill>
          </w14:textFill>
        </w:rPr>
        <w:t>第三章 评审程序</w:t>
      </w:r>
    </w:p>
    <w:p w14:paraId="36BEB382">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第十三条  协会成立化工施工工法评审委员会，负责化工施工工法的评审工作，评审委员会设主任委员1名，副主任委员1~2名，委员若干。委员原则上从化工建设行业高级专家库中遴选产生。</w:t>
      </w:r>
    </w:p>
    <w:p w14:paraId="4CF95E3D">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第十四条  工法评审委员会专家委员应具有高级技术职称，有丰富的工程施工实践经验和扎实的专业理论基础，担任过大型施工企业技术负责人或大型施工项目负责人。</w:t>
      </w:r>
    </w:p>
    <w:p w14:paraId="15A1261A">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第十五条  化工施工工法的评审应遵循国家工程建设的方针政策和工程建设强制性标准。评审委员会专家委员应坚持科学、公正、公平的原则，严格按照评审标准开展工作，对所提出的评审意见负</w:t>
      </w:r>
      <w:bookmarkStart w:id="6" w:name="OLE_LINK2"/>
      <w:r>
        <w:rPr>
          <w:rFonts w:hint="eastAsia" w:ascii="宋体" w:hAnsi="宋体" w:eastAsia="宋体" w:cs="宋体"/>
          <w:color w:val="000000" w:themeColor="text1"/>
          <w:spacing w:val="8"/>
          <w:sz w:val="28"/>
          <w:szCs w:val="28"/>
          <w14:textFill>
            <w14:solidFill>
              <w14:schemeClr w14:val="tx1"/>
            </w14:solidFill>
          </w14:textFill>
        </w:rPr>
        <w:t>责，保证工法评审的严肃性和科学性，保守申报工法的技术秘密。</w:t>
      </w:r>
    </w:p>
    <w:p w14:paraId="623F620D">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第十六条  评审程序：</w:t>
      </w:r>
    </w:p>
    <w:p w14:paraId="34A165D0">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（一）形式审查。协会秘书处负责对申报资料完整性、符合性进行审查，符合申报条件的进入专业组评审。</w:t>
      </w:r>
    </w:p>
    <w:p w14:paraId="2ECBB54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（二）专业组评审。对通过形式审查的工法按专业分组，对工法的关键技术水平、工艺流程和操作要点的科学性、合理性、安全可靠性、推广应用价值、文本编制质量等进行评审，评审结果提交评审委员会审定。</w:t>
      </w:r>
    </w:p>
    <w:p w14:paraId="57F64107">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(三) 评审委员会审定。经评审委员会专家委员三分之二及以上同意方可通过。</w:t>
      </w:r>
    </w:p>
    <w:p w14:paraId="1D299A63">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（四）在评审中，评审委员会内少数持不同意见的专家委员，可保留意见备案。</w:t>
      </w:r>
    </w:p>
    <w:p w14:paraId="60149092">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（五）形成评审委员会审定意见，由评审委员会主任委员在《化工施工工法审定意见书》（附件2）上签字。</w:t>
      </w:r>
    </w:p>
    <w:p w14:paraId="0FFB0B42">
      <w:pPr>
        <w:adjustRightInd w:val="0"/>
        <w:spacing w:line="500" w:lineRule="exact"/>
        <w:ind w:firstLine="592"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第十七条  评审通过的化工施工工法在中国化工建设企业协会网站上公示，公示期为7个工作日。公示期满无异议的，由</w:t>
      </w:r>
      <w:bookmarkEnd w:id="6"/>
      <w:r>
        <w:rPr>
          <w:rFonts w:hint="eastAsia" w:ascii="宋体" w:hAnsi="宋体" w:eastAsia="宋体"/>
          <w:color w:val="000000" w:themeColor="text1"/>
          <w:sz w:val="28"/>
          <w14:textFill>
            <w14:solidFill>
              <w14:schemeClr w14:val="tx1"/>
            </w14:solidFill>
          </w14:textFill>
        </w:rPr>
        <w:t>协会正式发文公布评审结果。</w:t>
      </w:r>
    </w:p>
    <w:p w14:paraId="2CEB8AC4">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第十八条  已批准的化工施工工法有效期为8年。有效期满的</w:t>
      </w:r>
      <w:r>
        <w:rPr>
          <w:rFonts w:hint="eastAsia" w:ascii="宋体" w:hAnsi="宋体" w:eastAsia="宋体"/>
          <w:color w:val="000000" w:themeColor="text1"/>
          <w:sz w:val="28"/>
          <w14:textFill>
            <w14:solidFill>
              <w14:schemeClr w14:val="tx1"/>
            </w14:solidFill>
          </w14:textFill>
        </w:rPr>
        <w:t>化工施工工法，仍具有先进性的</w:t>
      </w:r>
      <w:r>
        <w:rPr>
          <w:rFonts w:hint="eastAsia" w:ascii="宋体" w:hAnsi="宋体" w:eastAsia="宋体" w:cs="宋体"/>
          <w:color w:val="000000" w:themeColor="text1"/>
          <w:spacing w:val="8"/>
          <w:sz w:val="28"/>
          <w:szCs w:val="28"/>
          <w14:textFill>
            <w14:solidFill>
              <w14:schemeClr w14:val="tx1"/>
            </w14:solidFill>
          </w14:textFill>
        </w:rPr>
        <w:t>，工法完成单位可按本办法相关规定重新申报。</w:t>
      </w:r>
    </w:p>
    <w:p w14:paraId="633745FC">
      <w:pPr>
        <w:adjustRightInd w:val="0"/>
        <w:spacing w:line="500" w:lineRule="exact"/>
        <w:jc w:val="center"/>
        <w:rPr>
          <w:rFonts w:hint="eastAsia" w:ascii="宋体" w:hAnsi="宋体" w:eastAsia="宋体"/>
          <w:b/>
          <w:color w:val="000000" w:themeColor="text1"/>
          <w:sz w:val="28"/>
          <w14:textFill>
            <w14:solidFill>
              <w14:schemeClr w14:val="tx1"/>
            </w14:solidFill>
          </w14:textFill>
        </w:rPr>
      </w:pPr>
      <w:bookmarkStart w:id="7" w:name="2_4"/>
      <w:bookmarkEnd w:id="7"/>
      <w:bookmarkStart w:id="8" w:name="sub436047_2_4"/>
      <w:bookmarkEnd w:id="8"/>
      <w:r>
        <w:rPr>
          <w:rFonts w:hint="eastAsia" w:ascii="宋体" w:hAnsi="宋体" w:eastAsia="宋体"/>
          <w:b/>
          <w:color w:val="000000" w:themeColor="text1"/>
          <w:sz w:val="28"/>
          <w14:textFill>
            <w14:solidFill>
              <w14:schemeClr w14:val="tx1"/>
            </w14:solidFill>
          </w14:textFill>
        </w:rPr>
        <w:t>第四章 工法的推广应用与成果管理</w:t>
      </w:r>
    </w:p>
    <w:p w14:paraId="5A84CB02">
      <w:pPr>
        <w:adjustRightInd w:val="0"/>
        <w:spacing w:line="500" w:lineRule="exact"/>
        <w:ind w:firstLine="560"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第十九条  荣获化工施工工法的单位，由协会统一颁发化工施工工法证书。</w:t>
      </w:r>
    </w:p>
    <w:p w14:paraId="336CEC3C">
      <w:pPr>
        <w:adjustRightInd w:val="0"/>
        <w:spacing w:line="500" w:lineRule="exact"/>
        <w:ind w:firstLine="560"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第二十条  获得化工施工工法的单位，对</w:t>
      </w:r>
      <w:r>
        <w:rPr>
          <w:rFonts w:hint="eastAsia" w:ascii="宋体" w:hAnsi="宋体" w:eastAsia="宋体" w:cs="宋体"/>
          <w:color w:val="000000" w:themeColor="text1"/>
          <w:spacing w:val="8"/>
          <w:sz w:val="28"/>
          <w:szCs w:val="28"/>
          <w14:textFill>
            <w14:solidFill>
              <w14:schemeClr w14:val="tx1"/>
            </w14:solidFill>
          </w14:textFill>
        </w:rPr>
        <w:t>开发、编写和推广应用工法作出</w:t>
      </w:r>
      <w:r>
        <w:rPr>
          <w:rFonts w:hint="eastAsia" w:ascii="宋体" w:hAnsi="宋体" w:eastAsia="宋体"/>
          <w:color w:val="000000" w:themeColor="text1"/>
          <w:sz w:val="28"/>
          <w14:textFill>
            <w14:solidFill>
              <w14:schemeClr w14:val="tx1"/>
            </w14:solidFill>
          </w14:textFill>
        </w:rPr>
        <w:t>直接贡献的员工，可按有关规定给予奖励。</w:t>
      </w:r>
    </w:p>
    <w:p w14:paraId="74AF91D6">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第二十一条  工法编制企业应持续开展技术跟踪迭代，加大技术创新力度，及时对原编工法进行修订，以保持工法技术的先进性和工程适用性。</w:t>
      </w:r>
    </w:p>
    <w:p w14:paraId="0E7AA8FE">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第二十二条  工法所有权单位，可根据国家相关法律法规的规定，</w:t>
      </w:r>
      <w:bookmarkStart w:id="9" w:name="OLE_LINK6"/>
      <w:r>
        <w:rPr>
          <w:rFonts w:hint="eastAsia" w:ascii="宋体" w:hAnsi="宋体" w:eastAsia="宋体" w:cs="宋体"/>
          <w:color w:val="000000" w:themeColor="text1"/>
          <w:spacing w:val="8"/>
          <w:sz w:val="28"/>
          <w:szCs w:val="28"/>
          <w14:textFill>
            <w14:solidFill>
              <w14:schemeClr w14:val="tx1"/>
            </w14:solidFill>
          </w14:textFill>
        </w:rPr>
        <w:t>开展工法</w:t>
      </w:r>
      <w:bookmarkEnd w:id="9"/>
      <w:r>
        <w:rPr>
          <w:rFonts w:hint="eastAsia" w:ascii="宋体" w:hAnsi="宋体" w:eastAsia="宋体" w:cs="宋体"/>
          <w:color w:val="000000" w:themeColor="text1"/>
          <w:spacing w:val="8"/>
          <w:sz w:val="28"/>
          <w:szCs w:val="28"/>
          <w14:textFill>
            <w14:solidFill>
              <w14:schemeClr w14:val="tx1"/>
            </w14:solidFill>
          </w14:textFill>
        </w:rPr>
        <w:t>技术有偿转让。工法中的关键技术，凡符合国家专利法、国家发明奖励条例及科学技术进步奖励条例的，应积极申请专利、技术发明奖及科学技术进步奖。</w:t>
      </w:r>
    </w:p>
    <w:p w14:paraId="12B1E1A2">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第二十三条  对于技术领先，应用广泛，效益显著的优秀工法，协会将积极推动其纳入相关的标准。</w:t>
      </w:r>
    </w:p>
    <w:p w14:paraId="4D29B0A9">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第二十四条  对优秀化工施工工法，协会组织开展交流、研讨、发布和推广，促进行业技术共享。</w:t>
      </w:r>
    </w:p>
    <w:p w14:paraId="536B0EB2">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第二十五条  已公布的化工施工工法，如发现有剽窃、弄虚作假等问题，经查实后，撤消其化工施工工法认定结果，自撤销之日起五年内不再受理该单位化工施工工法的申报。，</w:t>
      </w:r>
    </w:p>
    <w:p w14:paraId="4D1FB18F">
      <w:pPr>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p>
    <w:p w14:paraId="53EB8E32">
      <w:pPr>
        <w:adjustRightInd w:val="0"/>
        <w:spacing w:line="500" w:lineRule="exact"/>
        <w:jc w:val="center"/>
        <w:rPr>
          <w:rFonts w:hint="eastAsia" w:ascii="宋体" w:hAnsi="宋体" w:eastAsia="宋体"/>
          <w:b/>
          <w:color w:val="000000" w:themeColor="text1"/>
          <w:sz w:val="28"/>
          <w14:textFill>
            <w14:solidFill>
              <w14:schemeClr w14:val="tx1"/>
            </w14:solidFill>
          </w14:textFill>
        </w:rPr>
      </w:pPr>
      <w:r>
        <w:rPr>
          <w:rFonts w:hint="eastAsia" w:ascii="宋体" w:hAnsi="宋体" w:eastAsia="宋体"/>
          <w:b/>
          <w:color w:val="000000" w:themeColor="text1"/>
          <w:sz w:val="28"/>
          <w14:textFill>
            <w14:solidFill>
              <w14:schemeClr w14:val="tx1"/>
            </w14:solidFill>
          </w14:textFill>
        </w:rPr>
        <w:t>第五章 附 则</w:t>
      </w:r>
    </w:p>
    <w:p w14:paraId="0EBAE670">
      <w:pPr>
        <w:adjustRightInd w:val="0"/>
        <w:spacing w:line="500" w:lineRule="exact"/>
        <w:ind w:firstLine="592" w:firstLineChars="200"/>
        <w:rPr>
          <w:rFonts w:hint="eastAsia" w:ascii="宋体" w:hAnsi="宋体" w:eastAsia="宋体" w:cs="宋体"/>
          <w:color w:val="000000" w:themeColor="text1"/>
          <w:spacing w:val="8"/>
          <w:sz w:val="28"/>
          <w:szCs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第二十六条  本办法由中国</w:t>
      </w:r>
      <w:r>
        <w:rPr>
          <w:rFonts w:hint="eastAsia" w:ascii="宋体" w:hAnsi="宋体" w:eastAsia="宋体"/>
          <w:color w:val="000000" w:themeColor="text1"/>
          <w:sz w:val="28"/>
          <w14:textFill>
            <w14:solidFill>
              <w14:schemeClr w14:val="tx1"/>
            </w14:solidFill>
          </w14:textFill>
        </w:rPr>
        <w:t>化工建设企业协会秘书处</w:t>
      </w:r>
      <w:r>
        <w:rPr>
          <w:rFonts w:hint="eastAsia" w:ascii="宋体" w:hAnsi="宋体" w:eastAsia="宋体" w:cs="宋体"/>
          <w:color w:val="000000" w:themeColor="text1"/>
          <w:spacing w:val="8"/>
          <w:sz w:val="28"/>
          <w:szCs w:val="28"/>
          <w14:textFill>
            <w14:solidFill>
              <w14:schemeClr w14:val="tx1"/>
            </w14:solidFill>
          </w14:textFill>
        </w:rPr>
        <w:t>负责解释。</w:t>
      </w:r>
    </w:p>
    <w:p w14:paraId="33271B19">
      <w:pPr>
        <w:adjustRightInd w:val="0"/>
        <w:snapToGrid w:val="0"/>
        <w:spacing w:line="500" w:lineRule="exact"/>
        <w:ind w:firstLine="592" w:firstLineChars="200"/>
        <w:rPr>
          <w:rFonts w:hint="eastAsia" w:ascii="宋体" w:hAnsi="宋体" w:eastAsia="宋体"/>
          <w:color w:val="000000" w:themeColor="text1"/>
          <w:sz w:val="28"/>
          <w14:textFill>
            <w14:solidFill>
              <w14:schemeClr w14:val="tx1"/>
            </w14:solidFill>
          </w14:textFill>
        </w:rPr>
      </w:pPr>
      <w:r>
        <w:rPr>
          <w:rFonts w:hint="eastAsia" w:ascii="宋体" w:hAnsi="宋体" w:eastAsia="宋体" w:cs="宋体"/>
          <w:color w:val="000000" w:themeColor="text1"/>
          <w:spacing w:val="8"/>
          <w:sz w:val="28"/>
          <w:szCs w:val="28"/>
          <w14:textFill>
            <w14:solidFill>
              <w14:schemeClr w14:val="tx1"/>
            </w14:solidFill>
          </w14:textFill>
        </w:rPr>
        <w:t>第二十七条  本办法自发布之日起</w:t>
      </w:r>
      <w:r>
        <w:rPr>
          <w:rFonts w:hint="eastAsia" w:ascii="宋体" w:hAnsi="宋体" w:eastAsia="宋体"/>
          <w:color w:val="000000" w:themeColor="text1"/>
          <w:sz w:val="28"/>
          <w14:textFill>
            <w14:solidFill>
              <w14:schemeClr w14:val="tx1"/>
            </w14:solidFill>
          </w14:textFill>
        </w:rPr>
        <w:t>施行。</w:t>
      </w:r>
    </w:p>
    <w:p w14:paraId="7E4761B3">
      <w:pPr>
        <w:spacing w:line="500" w:lineRule="exact"/>
        <w:rPr>
          <w:rFonts w:hint="eastAsia" w:ascii="宋体" w:hAnsi="宋体" w:eastAsia="宋体"/>
          <w:color w:val="000000" w:themeColor="text1"/>
          <w14:textFill>
            <w14:solidFill>
              <w14:schemeClr w14:val="tx1"/>
            </w14:solidFill>
          </w14:textFill>
        </w:rPr>
      </w:pPr>
    </w:p>
    <w:p w14:paraId="57B0FAE4">
      <w:pPr>
        <w:shd w:val="clear" w:color="auto" w:fill="FFFFFF"/>
        <w:spacing w:line="500" w:lineRule="exact"/>
        <w:rPr>
          <w:rFonts w:hint="eastAsia" w:ascii="宋体" w:hAnsi="宋体" w:eastAsia="宋体"/>
          <w:color w:val="000000" w:themeColor="text1"/>
          <w:spacing w:val="8"/>
          <w:sz w:val="28"/>
          <w14:textFill>
            <w14:solidFill>
              <w14:schemeClr w14:val="tx1"/>
            </w14:solidFill>
          </w14:textFill>
        </w:rPr>
      </w:pPr>
    </w:p>
    <w:p w14:paraId="7E92AD34">
      <w:pPr>
        <w:shd w:val="clear" w:color="auto" w:fill="FFFFFF"/>
        <w:spacing w:line="500" w:lineRule="exact"/>
        <w:rPr>
          <w:rFonts w:hint="eastAsia" w:ascii="宋体" w:hAnsi="宋体" w:eastAsia="宋体"/>
          <w:color w:val="000000" w:themeColor="text1"/>
          <w:spacing w:val="8"/>
          <w:sz w:val="28"/>
          <w14:textFill>
            <w14:solidFill>
              <w14:schemeClr w14:val="tx1"/>
            </w14:solidFill>
          </w14:textFill>
        </w:rPr>
      </w:pPr>
    </w:p>
    <w:p w14:paraId="137C0525">
      <w:pPr>
        <w:shd w:val="clear" w:color="auto" w:fill="FFFFFF"/>
        <w:rPr>
          <w:rFonts w:hint="eastAsia"/>
          <w:color w:val="000000"/>
          <w:spacing w:val="8"/>
          <w:sz w:val="28"/>
        </w:rPr>
      </w:pPr>
      <w:r>
        <w:rPr>
          <w:rFonts w:hint="eastAsia"/>
          <w:color w:val="000000"/>
          <w:spacing w:val="8"/>
          <w:sz w:val="28"/>
        </w:rPr>
        <w:t>附件1：</w:t>
      </w:r>
    </w:p>
    <w:p w14:paraId="17DE0C53">
      <w:pPr>
        <w:rPr>
          <w:rFonts w:hint="eastAsia"/>
          <w:color w:val="000000"/>
          <w:sz w:val="28"/>
        </w:rPr>
      </w:pPr>
    </w:p>
    <w:p w14:paraId="3C8B8240">
      <w:pPr>
        <w:rPr>
          <w:rFonts w:hint="eastAsia"/>
          <w:color w:val="000000"/>
          <w:sz w:val="28"/>
        </w:rPr>
      </w:pPr>
    </w:p>
    <w:p w14:paraId="4E551975">
      <w:pPr>
        <w:jc w:val="center"/>
        <w:rPr>
          <w:rFonts w:hint="eastAsia" w:ascii="黑体" w:eastAsia="黑体"/>
          <w:color w:val="000000"/>
          <w:sz w:val="72"/>
        </w:rPr>
      </w:pPr>
    </w:p>
    <w:p w14:paraId="31BE78D8">
      <w:pPr>
        <w:jc w:val="center"/>
        <w:rPr>
          <w:rFonts w:hint="eastAsia" w:ascii="黑体" w:eastAsia="黑体"/>
          <w:color w:val="000000"/>
          <w:sz w:val="72"/>
        </w:rPr>
      </w:pPr>
      <w:r>
        <w:rPr>
          <w:rFonts w:hint="eastAsia" w:ascii="黑体" w:eastAsia="黑体"/>
          <w:color w:val="000000"/>
          <w:sz w:val="72"/>
        </w:rPr>
        <w:t>化工施工工法</w:t>
      </w:r>
    </w:p>
    <w:p w14:paraId="732EBA0D">
      <w:pPr>
        <w:jc w:val="center"/>
        <w:rPr>
          <w:rFonts w:hint="eastAsia" w:ascii="黑体" w:eastAsia="黑体"/>
          <w:color w:val="000000"/>
          <w:sz w:val="72"/>
        </w:rPr>
      </w:pPr>
      <w:r>
        <w:rPr>
          <w:rFonts w:hint="eastAsia" w:ascii="黑体" w:eastAsia="黑体"/>
          <w:color w:val="000000"/>
          <w:sz w:val="72"/>
        </w:rPr>
        <w:t>申报表</w:t>
      </w:r>
    </w:p>
    <w:p w14:paraId="62A47EC7">
      <w:pPr>
        <w:rPr>
          <w:rFonts w:hint="eastAsia"/>
          <w:color w:val="000000"/>
          <w:sz w:val="28"/>
        </w:rPr>
      </w:pPr>
    </w:p>
    <w:p w14:paraId="5BA09473">
      <w:pPr>
        <w:rPr>
          <w:rFonts w:hint="eastAsia"/>
          <w:color w:val="000000"/>
          <w:sz w:val="28"/>
        </w:rPr>
      </w:pPr>
    </w:p>
    <w:p w14:paraId="3A6BD8CB">
      <w:pPr>
        <w:rPr>
          <w:rFonts w:hint="eastAsia"/>
          <w:color w:val="000000"/>
          <w:sz w:val="28"/>
        </w:rPr>
      </w:pPr>
    </w:p>
    <w:p w14:paraId="5668B57E">
      <w:pPr>
        <w:rPr>
          <w:rFonts w:hint="eastAsia"/>
          <w:color w:val="000000"/>
          <w:sz w:val="28"/>
        </w:rPr>
      </w:pPr>
    </w:p>
    <w:p w14:paraId="0A078323">
      <w:pPr>
        <w:rPr>
          <w:rFonts w:hint="eastAsia"/>
          <w:color w:val="000000"/>
          <w:sz w:val="28"/>
        </w:rPr>
      </w:pPr>
    </w:p>
    <w:p w14:paraId="40C649A2">
      <w:pPr>
        <w:rPr>
          <w:rFonts w:hint="eastAsia"/>
          <w:color w:val="000000"/>
          <w:sz w:val="28"/>
        </w:rPr>
      </w:pPr>
    </w:p>
    <w:p w14:paraId="1203944F">
      <w:pPr>
        <w:spacing w:line="480" w:lineRule="auto"/>
        <w:ind w:firstLine="560" w:firstLineChars="200"/>
        <w:rPr>
          <w:rFonts w:hint="eastAsia"/>
          <w:color w:val="000000"/>
          <w:sz w:val="28"/>
        </w:rPr>
      </w:pPr>
      <w:r>
        <w:rPr>
          <w:color w:val="000000"/>
          <w:sz w:val="28"/>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297180</wp:posOffset>
                </wp:positionV>
                <wp:extent cx="3543300" cy="0"/>
                <wp:effectExtent l="0" t="5080" r="0" b="4445"/>
                <wp:wrapNone/>
                <wp:docPr id="1" name="直接连接符 1"/>
                <wp:cNvGraphicFramePr/>
                <a:graphic xmlns:a="http://schemas.openxmlformats.org/drawingml/2006/main">
                  <a:graphicData uri="http://schemas.microsoft.com/office/word/2010/wordprocessingShape">
                    <wps:wsp>
                      <wps:cNvCnPr/>
                      <wps:spPr>
                        <a:xfrm>
                          <a:off x="0" y="0"/>
                          <a:ext cx="35433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_x0000_s1026" o:spid="_x0000_s1026" o:spt="20" style="position:absolute;left:0pt;margin-left:99pt;margin-top:23.4pt;height:0pt;width:279pt;z-index:251659264;mso-width-relative:page;mso-height-relative:page;" filled="f" stroked="t" coordsize="21600,21600" o:gfxdata="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UtiYzVAAAACQEAAA8AAAAAAAAAAQAgAAAAIgAAAGRycy9kb3ducmV2LnhtbFBLAQIUABQAAAAI&#10;AIdO4kBY+pGQ8AEAAOIDAAAOAAAAAAAAAAEAIAAAACQBAABkcnMvZTJvRG9jLnhtbFBLBQYAAAAA&#10;BgAGAFkBAACGBQAAAAA=&#10;">
                <v:fill on="f" focussize="0,0"/>
                <v:stroke color="#000000" joinstyle="round"/>
                <v:imagedata o:title=""/>
                <o:lock v:ext="edit" aspectratio="f"/>
              </v:line>
            </w:pict>
          </mc:Fallback>
        </mc:AlternateContent>
      </w:r>
      <w:r>
        <w:rPr>
          <w:rFonts w:hint="eastAsia"/>
          <w:color w:val="000000"/>
          <w:sz w:val="28"/>
        </w:rPr>
        <w:t>工法名称：</w:t>
      </w:r>
      <w:r>
        <w:rPr>
          <w:color w:val="000000"/>
          <w:sz w:val="28"/>
        </w:rPr>
        <w:t xml:space="preserve">                                </w:t>
      </w:r>
      <w:r>
        <w:rPr>
          <w:rFonts w:hint="eastAsia"/>
          <w:color w:val="000000"/>
          <w:sz w:val="28"/>
        </w:rPr>
        <w:t xml:space="preserve">  </w:t>
      </w:r>
    </w:p>
    <w:p w14:paraId="2E5D66FA">
      <w:pPr>
        <w:spacing w:line="480" w:lineRule="auto"/>
        <w:ind w:firstLine="560" w:firstLineChars="200"/>
        <w:rPr>
          <w:rFonts w:hint="eastAsia"/>
          <w:color w:val="000000"/>
          <w:sz w:val="28"/>
          <w:u w:val="single"/>
        </w:rPr>
      </w:pPr>
      <w:r>
        <w:rPr>
          <w:color w:val="000000"/>
          <w:sz w:val="28"/>
        </w:rPr>
        <mc:AlternateContent>
          <mc:Choice Requires="wps">
            <w:drawing>
              <wp:anchor distT="0" distB="0" distL="114300" distR="114300" simplePos="0" relativeHeight="251660288" behindDoc="0" locked="0" layoutInCell="1" allowOverlap="1">
                <wp:simplePos x="0" y="0"/>
                <wp:positionH relativeFrom="column">
                  <wp:posOffset>1241425</wp:posOffset>
                </wp:positionH>
                <wp:positionV relativeFrom="paragraph">
                  <wp:posOffset>280670</wp:posOffset>
                </wp:positionV>
                <wp:extent cx="3543300" cy="0"/>
                <wp:effectExtent l="0" t="5080" r="0" b="4445"/>
                <wp:wrapNone/>
                <wp:docPr id="2" name="直接连接符 2"/>
                <wp:cNvGraphicFramePr/>
                <a:graphic xmlns:a="http://schemas.openxmlformats.org/drawingml/2006/main">
                  <a:graphicData uri="http://schemas.microsoft.com/office/word/2010/wordprocessingShape">
                    <wps:wsp>
                      <wps:cNvCnPr/>
                      <wps:spPr>
                        <a:xfrm>
                          <a:off x="0" y="0"/>
                          <a:ext cx="35433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_x0000_s1026" o:spid="_x0000_s1026" o:spt="20" style="position:absolute;left:0pt;margin-left:97.75pt;margin-top:22.1pt;height:0pt;width:279pt;z-index:251660288;mso-width-relative:page;mso-height-relative:page;" filled="f" stroked="t" coordsize="21600,21600" o:gfxdata="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qARvttYAAAAJAQAADwAAAAAAAAABACAAAAAiAAAAZHJzL2Rvd25yZXYueG1sUEsBAhQAFAAA&#10;AAgAh07iQIPYknDxAQAA4gMAAA4AAAAAAAAAAQAgAAAAJQEAAGRycy9lMm9Eb2MueG1sUEsFBgAA&#10;AAAGAAYAWQEAAIgFAAAAAA==&#10;">
                <v:fill on="f" focussize="0,0"/>
                <v:stroke color="#000000" joinstyle="round"/>
                <v:imagedata o:title=""/>
                <o:lock v:ext="edit" aspectratio="f"/>
              </v:line>
            </w:pict>
          </mc:Fallback>
        </mc:AlternateContent>
      </w:r>
      <w:r>
        <w:rPr>
          <w:rFonts w:hint="eastAsia"/>
          <w:color w:val="000000"/>
          <w:sz w:val="28"/>
        </w:rPr>
        <w:t>申报单位：</w:t>
      </w:r>
      <w:r>
        <w:rPr>
          <w:color w:val="000000"/>
          <w:sz w:val="28"/>
        </w:rPr>
        <w:t xml:space="preserve">                                </w:t>
      </w:r>
      <w:r>
        <w:rPr>
          <w:rFonts w:hint="eastAsia"/>
          <w:color w:val="000000"/>
          <w:sz w:val="28"/>
        </w:rPr>
        <w:t>（盖章）</w:t>
      </w:r>
    </w:p>
    <w:p w14:paraId="50445B36">
      <w:pPr>
        <w:spacing w:line="480" w:lineRule="auto"/>
        <w:ind w:firstLine="560" w:firstLineChars="200"/>
        <w:rPr>
          <w:rFonts w:hint="eastAsia"/>
          <w:color w:val="000000"/>
          <w:sz w:val="28"/>
          <w:u w:val="single"/>
        </w:rPr>
      </w:pPr>
      <w:r>
        <w:rPr>
          <w:color w:val="000000"/>
          <w:sz w:val="28"/>
        </w:rPr>
        <mc:AlternateContent>
          <mc:Choice Requires="wps">
            <w:drawing>
              <wp:anchor distT="0" distB="0" distL="114300" distR="114300" simplePos="0" relativeHeight="251661312" behindDoc="0" locked="0" layoutInCell="1" allowOverlap="1">
                <wp:simplePos x="0" y="0"/>
                <wp:positionH relativeFrom="column">
                  <wp:posOffset>1241425</wp:posOffset>
                </wp:positionH>
                <wp:positionV relativeFrom="paragraph">
                  <wp:posOffset>294005</wp:posOffset>
                </wp:positionV>
                <wp:extent cx="3543300" cy="0"/>
                <wp:effectExtent l="0" t="5080" r="0" b="4445"/>
                <wp:wrapNone/>
                <wp:docPr id="3" name="直接连接符 3"/>
                <wp:cNvGraphicFramePr/>
                <a:graphic xmlns:a="http://schemas.openxmlformats.org/drawingml/2006/main">
                  <a:graphicData uri="http://schemas.microsoft.com/office/word/2010/wordprocessingShape">
                    <wps:wsp>
                      <wps:cNvCnPr/>
                      <wps:spPr>
                        <a:xfrm>
                          <a:off x="0" y="0"/>
                          <a:ext cx="3543300"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_x0000_s1026" o:spid="_x0000_s1026" o:spt="20" style="position:absolute;left:0pt;margin-left:97.75pt;margin-top:23.15pt;height:0pt;width:279pt;z-index:251661312;mso-width-relative:page;mso-height-relative:page;" filled="f" stroked="t" coordsize="21600,21600" o:gfxdata="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g6i5NYAAAAJAQAADwAAAAAAAAABACAAAAAiAAAAZHJzL2Rvd25yZXYueG1sUEsBAhQAFAAA&#10;AAgAh07iQPXEvJnxAQAA4gMAAA4AAAAAAAAAAQAgAAAAJQEAAGRycy9lMm9Eb2MueG1sUEsFBgAA&#10;AAAGAAYAWQEAAIgFAAAAAA==&#10;">
                <v:fill on="f" focussize="0,0"/>
                <v:stroke color="#000000" joinstyle="round"/>
                <v:imagedata o:title=""/>
                <o:lock v:ext="edit" aspectratio="f"/>
              </v:line>
            </w:pict>
          </mc:Fallback>
        </mc:AlternateContent>
      </w:r>
      <w:r>
        <w:rPr>
          <w:rFonts w:hint="eastAsia"/>
          <w:color w:val="000000"/>
          <w:sz w:val="28"/>
        </w:rPr>
        <w:t>申报时间：</w:t>
      </w:r>
    </w:p>
    <w:p w14:paraId="696C1103">
      <w:pPr>
        <w:rPr>
          <w:rFonts w:hint="eastAsia"/>
          <w:color w:val="000000"/>
          <w:sz w:val="28"/>
        </w:rPr>
      </w:pPr>
    </w:p>
    <w:p w14:paraId="71D59D98">
      <w:pPr>
        <w:rPr>
          <w:rFonts w:hint="eastAsia"/>
          <w:color w:val="000000"/>
          <w:sz w:val="28"/>
        </w:rPr>
      </w:pPr>
    </w:p>
    <w:p w14:paraId="2B0BB393">
      <w:pPr>
        <w:rPr>
          <w:rFonts w:hint="eastAsia"/>
          <w:color w:val="000000"/>
          <w:sz w:val="28"/>
        </w:rPr>
      </w:pPr>
      <w:r>
        <w:rPr>
          <w:color w:val="000000"/>
          <w:sz w:val="28"/>
        </w:rPr>
        <w:br w:type="page"/>
      </w:r>
    </w:p>
    <w:tbl>
      <w:tblPr>
        <w:tblStyle w:val="17"/>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608"/>
        <w:gridCol w:w="1163"/>
        <w:gridCol w:w="113"/>
        <w:gridCol w:w="1276"/>
        <w:gridCol w:w="1275"/>
        <w:gridCol w:w="993"/>
        <w:gridCol w:w="2976"/>
      </w:tblGrid>
      <w:tr w14:paraId="780F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AF4E2D8">
            <w:pPr>
              <w:jc w:val="center"/>
              <w:rPr>
                <w:rFonts w:hint="eastAsia"/>
                <w:color w:val="000000"/>
                <w:sz w:val="28"/>
              </w:rPr>
            </w:pPr>
            <w:r>
              <w:rPr>
                <w:rFonts w:hint="eastAsia"/>
                <w:color w:val="000000"/>
                <w:sz w:val="28"/>
              </w:rPr>
              <w:t>工法名称</w:t>
            </w:r>
          </w:p>
        </w:tc>
        <w:tc>
          <w:tcPr>
            <w:tcW w:w="7796"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2808E394">
            <w:pPr>
              <w:jc w:val="center"/>
              <w:rPr>
                <w:rFonts w:hint="eastAsia"/>
                <w:color w:val="000000"/>
                <w:sz w:val="28"/>
              </w:rPr>
            </w:pPr>
          </w:p>
        </w:tc>
      </w:tr>
      <w:tr w14:paraId="2A14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3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1C71C88">
            <w:pPr>
              <w:jc w:val="center"/>
              <w:rPr>
                <w:rFonts w:hint="eastAsia"/>
                <w:color w:val="000000"/>
                <w:sz w:val="28"/>
              </w:rPr>
            </w:pPr>
            <w:r>
              <w:rPr>
                <w:rFonts w:hint="eastAsia"/>
                <w:color w:val="000000"/>
                <w:sz w:val="28"/>
              </w:rPr>
              <w:t>完成单位</w:t>
            </w:r>
          </w:p>
        </w:tc>
        <w:tc>
          <w:tcPr>
            <w:tcW w:w="7796"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E9E4D9F">
            <w:pPr>
              <w:jc w:val="center"/>
              <w:rPr>
                <w:rFonts w:hint="eastAsia"/>
                <w:color w:val="000000"/>
                <w:sz w:val="28"/>
              </w:rPr>
            </w:pPr>
          </w:p>
        </w:tc>
      </w:tr>
      <w:tr w14:paraId="5859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35CC0BB">
            <w:pPr>
              <w:jc w:val="center"/>
              <w:rPr>
                <w:rFonts w:hint="eastAsia"/>
                <w:color w:val="000000"/>
                <w:sz w:val="28"/>
              </w:rPr>
            </w:pPr>
            <w:r>
              <w:rPr>
                <w:rFonts w:hint="eastAsia"/>
                <w:color w:val="000000"/>
                <w:sz w:val="28"/>
              </w:rPr>
              <w:t>通讯地址</w:t>
            </w:r>
          </w:p>
        </w:tc>
        <w:tc>
          <w:tcPr>
            <w:tcW w:w="3827"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485ACAC8">
            <w:pPr>
              <w:jc w:val="center"/>
              <w:rPr>
                <w:rFonts w:hint="eastAsia"/>
                <w:color w:val="000000"/>
                <w:sz w:val="28"/>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5E223671">
            <w:pPr>
              <w:jc w:val="center"/>
              <w:rPr>
                <w:rFonts w:hint="eastAsia"/>
                <w:color w:val="000000"/>
                <w:sz w:val="28"/>
              </w:rPr>
            </w:pPr>
            <w:r>
              <w:rPr>
                <w:rFonts w:hint="eastAsia"/>
                <w:color w:val="000000"/>
                <w:sz w:val="28"/>
              </w:rPr>
              <w:t>邮编</w:t>
            </w:r>
          </w:p>
        </w:tc>
        <w:tc>
          <w:tcPr>
            <w:tcW w:w="2976" w:type="dxa"/>
            <w:tcBorders>
              <w:top w:val="single" w:color="auto" w:sz="4" w:space="0"/>
              <w:left w:val="single" w:color="auto" w:sz="4" w:space="0"/>
              <w:bottom w:val="single" w:color="auto" w:sz="4" w:space="0"/>
              <w:right w:val="single" w:color="auto" w:sz="4" w:space="0"/>
              <w:tl2br w:val="nil"/>
              <w:tr2bl w:val="nil"/>
            </w:tcBorders>
            <w:vAlign w:val="center"/>
          </w:tcPr>
          <w:p w14:paraId="618F7A72">
            <w:pPr>
              <w:jc w:val="center"/>
              <w:rPr>
                <w:rFonts w:hint="eastAsia"/>
                <w:color w:val="000000"/>
                <w:sz w:val="28"/>
              </w:rPr>
            </w:pPr>
          </w:p>
        </w:tc>
      </w:tr>
      <w:tr w14:paraId="454F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4489F5A">
            <w:pPr>
              <w:jc w:val="center"/>
              <w:rPr>
                <w:rFonts w:hint="eastAsia"/>
                <w:color w:val="000000"/>
                <w:sz w:val="28"/>
              </w:rPr>
            </w:pPr>
            <w:r>
              <w:rPr>
                <w:rFonts w:hint="eastAsia"/>
                <w:color w:val="000000"/>
                <w:sz w:val="28"/>
              </w:rPr>
              <w:t>联系人</w:t>
            </w:r>
          </w:p>
        </w:tc>
        <w:tc>
          <w:tcPr>
            <w:tcW w:w="3827"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211622FA">
            <w:pPr>
              <w:jc w:val="center"/>
              <w:rPr>
                <w:rFonts w:hint="eastAsia"/>
                <w:color w:val="000000"/>
                <w:sz w:val="28"/>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9489E38">
            <w:pPr>
              <w:jc w:val="center"/>
              <w:rPr>
                <w:rFonts w:hint="eastAsia"/>
                <w:color w:val="000000"/>
                <w:sz w:val="28"/>
              </w:rPr>
            </w:pPr>
            <w:r>
              <w:rPr>
                <w:rFonts w:hint="eastAsia"/>
                <w:color w:val="000000"/>
                <w:sz w:val="28"/>
              </w:rPr>
              <w:t>电话</w:t>
            </w:r>
          </w:p>
        </w:tc>
        <w:tc>
          <w:tcPr>
            <w:tcW w:w="2976" w:type="dxa"/>
            <w:tcBorders>
              <w:top w:val="single" w:color="auto" w:sz="4" w:space="0"/>
              <w:left w:val="single" w:color="auto" w:sz="4" w:space="0"/>
              <w:bottom w:val="single" w:color="auto" w:sz="4" w:space="0"/>
              <w:right w:val="single" w:color="auto" w:sz="4" w:space="0"/>
              <w:tl2br w:val="nil"/>
              <w:tr2bl w:val="nil"/>
            </w:tcBorders>
            <w:vAlign w:val="center"/>
          </w:tcPr>
          <w:p w14:paraId="21EABC89">
            <w:pPr>
              <w:jc w:val="center"/>
              <w:rPr>
                <w:rFonts w:hint="eastAsia"/>
                <w:color w:val="000000"/>
                <w:sz w:val="28"/>
              </w:rPr>
            </w:pPr>
          </w:p>
        </w:tc>
      </w:tr>
      <w:tr w14:paraId="6E4B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1BBB973F">
            <w:pPr>
              <w:jc w:val="center"/>
              <w:rPr>
                <w:rFonts w:hint="eastAsia"/>
                <w:color w:val="000000"/>
                <w:sz w:val="28"/>
              </w:rPr>
            </w:pPr>
            <w:r>
              <w:rPr>
                <w:rFonts w:hint="eastAsia"/>
                <w:color w:val="000000"/>
                <w:sz w:val="28"/>
              </w:rPr>
              <w:t>主</w:t>
            </w:r>
          </w:p>
          <w:p w14:paraId="06A5FA6C">
            <w:pPr>
              <w:jc w:val="center"/>
              <w:rPr>
                <w:rFonts w:hint="eastAsia"/>
                <w:color w:val="000000"/>
                <w:sz w:val="28"/>
              </w:rPr>
            </w:pPr>
            <w:r>
              <w:rPr>
                <w:rFonts w:hint="eastAsia"/>
                <w:color w:val="000000"/>
                <w:sz w:val="28"/>
              </w:rPr>
              <w:t>要</w:t>
            </w:r>
          </w:p>
          <w:p w14:paraId="2884ACFF">
            <w:pPr>
              <w:jc w:val="center"/>
              <w:rPr>
                <w:rFonts w:hint="eastAsia"/>
                <w:color w:val="000000"/>
                <w:sz w:val="28"/>
              </w:rPr>
            </w:pPr>
            <w:r>
              <w:rPr>
                <w:rFonts w:hint="eastAsia"/>
                <w:color w:val="000000"/>
                <w:sz w:val="28"/>
              </w:rPr>
              <w:t>完</w:t>
            </w:r>
          </w:p>
          <w:p w14:paraId="04ED691D">
            <w:pPr>
              <w:jc w:val="center"/>
              <w:rPr>
                <w:rFonts w:hint="eastAsia"/>
                <w:color w:val="000000"/>
                <w:sz w:val="28"/>
              </w:rPr>
            </w:pPr>
            <w:r>
              <w:rPr>
                <w:rFonts w:hint="eastAsia"/>
                <w:color w:val="000000"/>
                <w:sz w:val="28"/>
              </w:rPr>
              <w:t>成</w:t>
            </w:r>
          </w:p>
          <w:p w14:paraId="22E63309">
            <w:pPr>
              <w:jc w:val="center"/>
              <w:rPr>
                <w:rFonts w:hint="eastAsia"/>
                <w:color w:val="000000"/>
                <w:sz w:val="28"/>
              </w:rPr>
            </w:pPr>
            <w:r>
              <w:rPr>
                <w:rFonts w:hint="eastAsia"/>
                <w:color w:val="000000"/>
                <w:sz w:val="28"/>
              </w:rPr>
              <w:t>人</w:t>
            </w:r>
          </w:p>
        </w:tc>
        <w:tc>
          <w:tcPr>
            <w:tcW w:w="12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440AE44">
            <w:pPr>
              <w:jc w:val="center"/>
              <w:rPr>
                <w:rFonts w:hint="eastAsia"/>
                <w:color w:val="000000"/>
                <w:sz w:val="28"/>
              </w:rPr>
            </w:pPr>
            <w:r>
              <w:rPr>
                <w:rFonts w:hint="eastAsia"/>
                <w:color w:val="000000"/>
                <w:sz w:val="28"/>
              </w:rPr>
              <w:t>姓</w:t>
            </w:r>
            <w:r>
              <w:rPr>
                <w:color w:val="000000"/>
                <w:sz w:val="28"/>
              </w:rPr>
              <w:t xml:space="preserve">  </w:t>
            </w:r>
            <w:r>
              <w:rPr>
                <w:rFonts w:hint="eastAsia"/>
                <w:color w:val="000000"/>
                <w:sz w:val="28"/>
              </w:rPr>
              <w:t>名</w:t>
            </w:r>
          </w:p>
        </w:tc>
        <w:tc>
          <w:tcPr>
            <w:tcW w:w="1276" w:type="dxa"/>
            <w:tcBorders>
              <w:top w:val="single" w:color="auto" w:sz="4" w:space="0"/>
              <w:left w:val="single" w:color="auto" w:sz="4" w:space="0"/>
              <w:bottom w:val="single" w:color="auto" w:sz="4" w:space="0"/>
              <w:right w:val="single" w:color="auto" w:sz="4" w:space="0"/>
              <w:tl2br w:val="nil"/>
              <w:tr2bl w:val="nil"/>
            </w:tcBorders>
            <w:vAlign w:val="center"/>
          </w:tcPr>
          <w:p w14:paraId="706A6A46">
            <w:pPr>
              <w:jc w:val="center"/>
              <w:rPr>
                <w:rFonts w:hint="eastAsia"/>
                <w:color w:val="000000"/>
                <w:sz w:val="28"/>
              </w:rPr>
            </w:pPr>
            <w:r>
              <w:rPr>
                <w:rFonts w:hint="eastAsia"/>
                <w:color w:val="000000"/>
                <w:sz w:val="28"/>
              </w:rPr>
              <w:t>职</w:t>
            </w:r>
            <w:r>
              <w:rPr>
                <w:color w:val="000000"/>
                <w:sz w:val="28"/>
              </w:rPr>
              <w:t xml:space="preserve">  </w:t>
            </w:r>
            <w:r>
              <w:rPr>
                <w:rFonts w:hint="eastAsia"/>
                <w:color w:val="000000"/>
                <w:sz w:val="28"/>
              </w:rPr>
              <w:t>务</w:t>
            </w:r>
          </w:p>
        </w:tc>
        <w:tc>
          <w:tcPr>
            <w:tcW w:w="1275" w:type="dxa"/>
            <w:tcBorders>
              <w:top w:val="single" w:color="auto" w:sz="4" w:space="0"/>
              <w:left w:val="single" w:color="auto" w:sz="4" w:space="0"/>
              <w:bottom w:val="single" w:color="auto" w:sz="4" w:space="0"/>
              <w:right w:val="single" w:color="auto" w:sz="4" w:space="0"/>
              <w:tl2br w:val="nil"/>
              <w:tr2bl w:val="nil"/>
            </w:tcBorders>
            <w:vAlign w:val="center"/>
          </w:tcPr>
          <w:p w14:paraId="3D7BFE22">
            <w:pPr>
              <w:jc w:val="center"/>
              <w:rPr>
                <w:rFonts w:hint="eastAsia"/>
                <w:color w:val="000000"/>
                <w:sz w:val="28"/>
              </w:rPr>
            </w:pPr>
            <w:r>
              <w:rPr>
                <w:rFonts w:hint="eastAsia"/>
                <w:color w:val="000000"/>
                <w:sz w:val="28"/>
              </w:rPr>
              <w:t>职</w:t>
            </w:r>
            <w:r>
              <w:rPr>
                <w:color w:val="000000"/>
                <w:sz w:val="28"/>
              </w:rPr>
              <w:t xml:space="preserve">  </w:t>
            </w:r>
            <w:r>
              <w:rPr>
                <w:rFonts w:hint="eastAsia"/>
                <w:color w:val="000000"/>
                <w:sz w:val="28"/>
              </w:rPr>
              <w:t>称</w:t>
            </w:r>
          </w:p>
        </w:tc>
        <w:tc>
          <w:tcPr>
            <w:tcW w:w="396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D13E2F">
            <w:pPr>
              <w:jc w:val="center"/>
              <w:rPr>
                <w:rFonts w:hint="eastAsia"/>
                <w:color w:val="000000"/>
                <w:sz w:val="28"/>
              </w:rPr>
            </w:pPr>
            <w:r>
              <w:rPr>
                <w:rFonts w:hint="eastAsia"/>
                <w:color w:val="000000"/>
                <w:sz w:val="28"/>
              </w:rPr>
              <w:t>所在工作单位</w:t>
            </w:r>
          </w:p>
        </w:tc>
      </w:tr>
      <w:tr w14:paraId="2077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6025EF99">
            <w:pPr>
              <w:jc w:val="center"/>
              <w:rPr>
                <w:rFonts w:hint="eastAsia"/>
                <w:color w:val="000000"/>
                <w:sz w:val="28"/>
              </w:rPr>
            </w:pPr>
          </w:p>
        </w:tc>
        <w:tc>
          <w:tcPr>
            <w:tcW w:w="12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A65ACDB">
            <w:pPr>
              <w:jc w:val="center"/>
              <w:rPr>
                <w:rFonts w:hint="eastAsia"/>
                <w:color w:val="000000"/>
                <w:sz w:val="28"/>
              </w:rPr>
            </w:pPr>
          </w:p>
        </w:tc>
        <w:tc>
          <w:tcPr>
            <w:tcW w:w="1276" w:type="dxa"/>
            <w:tcBorders>
              <w:top w:val="single" w:color="auto" w:sz="4" w:space="0"/>
              <w:left w:val="single" w:color="auto" w:sz="4" w:space="0"/>
              <w:bottom w:val="single" w:color="auto" w:sz="4" w:space="0"/>
              <w:right w:val="single" w:color="auto" w:sz="4" w:space="0"/>
              <w:tl2br w:val="nil"/>
              <w:tr2bl w:val="nil"/>
            </w:tcBorders>
            <w:vAlign w:val="center"/>
          </w:tcPr>
          <w:p w14:paraId="19A51318">
            <w:pPr>
              <w:jc w:val="center"/>
              <w:rPr>
                <w:rFonts w:hint="eastAsia"/>
                <w:color w:val="000000"/>
                <w:sz w:val="28"/>
              </w:rPr>
            </w:pPr>
          </w:p>
        </w:tc>
        <w:tc>
          <w:tcPr>
            <w:tcW w:w="1275" w:type="dxa"/>
            <w:tcBorders>
              <w:top w:val="single" w:color="auto" w:sz="4" w:space="0"/>
              <w:left w:val="single" w:color="auto" w:sz="4" w:space="0"/>
              <w:bottom w:val="single" w:color="auto" w:sz="4" w:space="0"/>
              <w:right w:val="single" w:color="auto" w:sz="4" w:space="0"/>
              <w:tl2br w:val="nil"/>
              <w:tr2bl w:val="nil"/>
            </w:tcBorders>
            <w:vAlign w:val="center"/>
          </w:tcPr>
          <w:p w14:paraId="6CDA48C5">
            <w:pPr>
              <w:jc w:val="center"/>
              <w:rPr>
                <w:rFonts w:hint="eastAsia"/>
                <w:color w:val="000000"/>
                <w:sz w:val="28"/>
              </w:rPr>
            </w:pPr>
          </w:p>
        </w:tc>
        <w:tc>
          <w:tcPr>
            <w:tcW w:w="396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26B198">
            <w:pPr>
              <w:jc w:val="center"/>
              <w:rPr>
                <w:rFonts w:hint="eastAsia"/>
                <w:color w:val="000000"/>
                <w:sz w:val="28"/>
              </w:rPr>
            </w:pPr>
          </w:p>
        </w:tc>
      </w:tr>
      <w:tr w14:paraId="3785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E8545B7">
            <w:pPr>
              <w:jc w:val="center"/>
              <w:rPr>
                <w:rFonts w:hint="eastAsia"/>
                <w:color w:val="000000"/>
                <w:sz w:val="28"/>
              </w:rPr>
            </w:pPr>
          </w:p>
        </w:tc>
        <w:tc>
          <w:tcPr>
            <w:tcW w:w="12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9D05692">
            <w:pPr>
              <w:jc w:val="center"/>
              <w:rPr>
                <w:rFonts w:hint="eastAsia"/>
                <w:color w:val="000000"/>
                <w:sz w:val="28"/>
              </w:rPr>
            </w:pPr>
          </w:p>
        </w:tc>
        <w:tc>
          <w:tcPr>
            <w:tcW w:w="1276" w:type="dxa"/>
            <w:tcBorders>
              <w:top w:val="single" w:color="auto" w:sz="4" w:space="0"/>
              <w:left w:val="single" w:color="auto" w:sz="4" w:space="0"/>
              <w:bottom w:val="single" w:color="auto" w:sz="4" w:space="0"/>
              <w:right w:val="single" w:color="auto" w:sz="4" w:space="0"/>
              <w:tl2br w:val="nil"/>
              <w:tr2bl w:val="nil"/>
            </w:tcBorders>
            <w:vAlign w:val="center"/>
          </w:tcPr>
          <w:p w14:paraId="5895F7C1">
            <w:pPr>
              <w:jc w:val="center"/>
              <w:rPr>
                <w:rFonts w:hint="eastAsia"/>
                <w:color w:val="000000"/>
                <w:sz w:val="28"/>
              </w:rPr>
            </w:pPr>
          </w:p>
        </w:tc>
        <w:tc>
          <w:tcPr>
            <w:tcW w:w="1275" w:type="dxa"/>
            <w:tcBorders>
              <w:top w:val="single" w:color="auto" w:sz="4" w:space="0"/>
              <w:left w:val="single" w:color="auto" w:sz="4" w:space="0"/>
              <w:bottom w:val="single" w:color="auto" w:sz="4" w:space="0"/>
              <w:right w:val="single" w:color="auto" w:sz="4" w:space="0"/>
              <w:tl2br w:val="nil"/>
              <w:tr2bl w:val="nil"/>
            </w:tcBorders>
            <w:vAlign w:val="center"/>
          </w:tcPr>
          <w:p w14:paraId="0C4E835A">
            <w:pPr>
              <w:jc w:val="center"/>
              <w:rPr>
                <w:rFonts w:hint="eastAsia"/>
                <w:color w:val="000000"/>
                <w:sz w:val="28"/>
              </w:rPr>
            </w:pPr>
          </w:p>
        </w:tc>
        <w:tc>
          <w:tcPr>
            <w:tcW w:w="396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B11DE2D">
            <w:pPr>
              <w:jc w:val="center"/>
              <w:rPr>
                <w:rFonts w:hint="eastAsia"/>
                <w:color w:val="000000"/>
                <w:sz w:val="28"/>
              </w:rPr>
            </w:pPr>
          </w:p>
        </w:tc>
      </w:tr>
      <w:tr w14:paraId="54A8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0B1A66DC">
            <w:pPr>
              <w:jc w:val="center"/>
              <w:rPr>
                <w:rFonts w:hint="eastAsia"/>
                <w:color w:val="000000"/>
                <w:sz w:val="28"/>
              </w:rPr>
            </w:pPr>
          </w:p>
        </w:tc>
        <w:tc>
          <w:tcPr>
            <w:tcW w:w="12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EE8ADB6">
            <w:pPr>
              <w:jc w:val="center"/>
              <w:rPr>
                <w:rFonts w:hint="eastAsia"/>
                <w:color w:val="000000"/>
                <w:sz w:val="28"/>
              </w:rPr>
            </w:pPr>
          </w:p>
        </w:tc>
        <w:tc>
          <w:tcPr>
            <w:tcW w:w="1276" w:type="dxa"/>
            <w:tcBorders>
              <w:top w:val="single" w:color="auto" w:sz="4" w:space="0"/>
              <w:left w:val="single" w:color="auto" w:sz="4" w:space="0"/>
              <w:bottom w:val="single" w:color="auto" w:sz="4" w:space="0"/>
              <w:right w:val="single" w:color="auto" w:sz="4" w:space="0"/>
              <w:tl2br w:val="nil"/>
              <w:tr2bl w:val="nil"/>
            </w:tcBorders>
            <w:vAlign w:val="center"/>
          </w:tcPr>
          <w:p w14:paraId="0F5CE3E8">
            <w:pPr>
              <w:jc w:val="center"/>
              <w:rPr>
                <w:rFonts w:hint="eastAsia"/>
                <w:color w:val="000000"/>
                <w:sz w:val="28"/>
              </w:rPr>
            </w:pPr>
          </w:p>
        </w:tc>
        <w:tc>
          <w:tcPr>
            <w:tcW w:w="1275" w:type="dxa"/>
            <w:tcBorders>
              <w:top w:val="single" w:color="auto" w:sz="4" w:space="0"/>
              <w:left w:val="single" w:color="auto" w:sz="4" w:space="0"/>
              <w:bottom w:val="single" w:color="auto" w:sz="4" w:space="0"/>
              <w:right w:val="single" w:color="auto" w:sz="4" w:space="0"/>
              <w:tl2br w:val="nil"/>
              <w:tr2bl w:val="nil"/>
            </w:tcBorders>
            <w:vAlign w:val="center"/>
          </w:tcPr>
          <w:p w14:paraId="799FE503">
            <w:pPr>
              <w:jc w:val="center"/>
              <w:rPr>
                <w:rFonts w:hint="eastAsia"/>
                <w:color w:val="000000"/>
                <w:sz w:val="28"/>
              </w:rPr>
            </w:pPr>
          </w:p>
        </w:tc>
        <w:tc>
          <w:tcPr>
            <w:tcW w:w="396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621AAF7">
            <w:pPr>
              <w:jc w:val="center"/>
              <w:rPr>
                <w:rFonts w:hint="eastAsia"/>
                <w:color w:val="000000"/>
                <w:sz w:val="28"/>
              </w:rPr>
            </w:pPr>
          </w:p>
        </w:tc>
      </w:tr>
      <w:tr w14:paraId="7D58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5DF9BB07">
            <w:pPr>
              <w:jc w:val="center"/>
              <w:rPr>
                <w:rFonts w:hint="eastAsia"/>
                <w:color w:val="000000"/>
                <w:sz w:val="28"/>
              </w:rPr>
            </w:pPr>
          </w:p>
        </w:tc>
        <w:tc>
          <w:tcPr>
            <w:tcW w:w="12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088EB1C">
            <w:pPr>
              <w:jc w:val="center"/>
              <w:rPr>
                <w:rFonts w:hint="eastAsia"/>
                <w:color w:val="000000"/>
                <w:sz w:val="28"/>
              </w:rPr>
            </w:pPr>
          </w:p>
        </w:tc>
        <w:tc>
          <w:tcPr>
            <w:tcW w:w="1276" w:type="dxa"/>
            <w:tcBorders>
              <w:top w:val="single" w:color="auto" w:sz="4" w:space="0"/>
              <w:left w:val="single" w:color="auto" w:sz="4" w:space="0"/>
              <w:bottom w:val="single" w:color="auto" w:sz="4" w:space="0"/>
              <w:right w:val="single" w:color="auto" w:sz="4" w:space="0"/>
              <w:tl2br w:val="nil"/>
              <w:tr2bl w:val="nil"/>
            </w:tcBorders>
            <w:vAlign w:val="center"/>
          </w:tcPr>
          <w:p w14:paraId="2FB07CC5">
            <w:pPr>
              <w:jc w:val="center"/>
              <w:rPr>
                <w:rFonts w:hint="eastAsia"/>
                <w:color w:val="000000"/>
                <w:sz w:val="28"/>
              </w:rPr>
            </w:pPr>
          </w:p>
        </w:tc>
        <w:tc>
          <w:tcPr>
            <w:tcW w:w="1275" w:type="dxa"/>
            <w:tcBorders>
              <w:top w:val="single" w:color="auto" w:sz="4" w:space="0"/>
              <w:left w:val="single" w:color="auto" w:sz="4" w:space="0"/>
              <w:bottom w:val="single" w:color="auto" w:sz="4" w:space="0"/>
              <w:right w:val="single" w:color="auto" w:sz="4" w:space="0"/>
              <w:tl2br w:val="nil"/>
              <w:tr2bl w:val="nil"/>
            </w:tcBorders>
            <w:vAlign w:val="center"/>
          </w:tcPr>
          <w:p w14:paraId="20AF651D">
            <w:pPr>
              <w:jc w:val="center"/>
              <w:rPr>
                <w:rFonts w:hint="eastAsia"/>
                <w:color w:val="000000"/>
                <w:sz w:val="28"/>
              </w:rPr>
            </w:pPr>
          </w:p>
        </w:tc>
        <w:tc>
          <w:tcPr>
            <w:tcW w:w="396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3C6D152">
            <w:pPr>
              <w:jc w:val="center"/>
              <w:rPr>
                <w:rFonts w:hint="eastAsia"/>
                <w:color w:val="000000"/>
                <w:sz w:val="28"/>
              </w:rPr>
            </w:pPr>
          </w:p>
        </w:tc>
      </w:tr>
      <w:tr w14:paraId="6FA9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57314399">
            <w:pPr>
              <w:jc w:val="center"/>
              <w:rPr>
                <w:rFonts w:hint="eastAsia"/>
                <w:color w:val="000000"/>
                <w:sz w:val="28"/>
              </w:rPr>
            </w:pPr>
          </w:p>
        </w:tc>
        <w:tc>
          <w:tcPr>
            <w:tcW w:w="12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7FB2B9C">
            <w:pPr>
              <w:jc w:val="center"/>
              <w:rPr>
                <w:rFonts w:hint="eastAsia"/>
                <w:color w:val="000000"/>
                <w:sz w:val="28"/>
              </w:rPr>
            </w:pPr>
          </w:p>
        </w:tc>
        <w:tc>
          <w:tcPr>
            <w:tcW w:w="1276" w:type="dxa"/>
            <w:tcBorders>
              <w:top w:val="single" w:color="auto" w:sz="4" w:space="0"/>
              <w:left w:val="single" w:color="auto" w:sz="4" w:space="0"/>
              <w:bottom w:val="single" w:color="auto" w:sz="4" w:space="0"/>
              <w:right w:val="single" w:color="auto" w:sz="4" w:space="0"/>
              <w:tl2br w:val="nil"/>
              <w:tr2bl w:val="nil"/>
            </w:tcBorders>
            <w:vAlign w:val="center"/>
          </w:tcPr>
          <w:p w14:paraId="19C4D026">
            <w:pPr>
              <w:jc w:val="center"/>
              <w:rPr>
                <w:rFonts w:hint="eastAsia"/>
                <w:color w:val="000000"/>
                <w:sz w:val="28"/>
              </w:rPr>
            </w:pPr>
          </w:p>
        </w:tc>
        <w:tc>
          <w:tcPr>
            <w:tcW w:w="1275" w:type="dxa"/>
            <w:tcBorders>
              <w:top w:val="single" w:color="auto" w:sz="4" w:space="0"/>
              <w:left w:val="single" w:color="auto" w:sz="4" w:space="0"/>
              <w:bottom w:val="single" w:color="auto" w:sz="4" w:space="0"/>
              <w:right w:val="single" w:color="auto" w:sz="4" w:space="0"/>
              <w:tl2br w:val="nil"/>
              <w:tr2bl w:val="nil"/>
            </w:tcBorders>
            <w:vAlign w:val="center"/>
          </w:tcPr>
          <w:p w14:paraId="2E71F86E">
            <w:pPr>
              <w:jc w:val="center"/>
              <w:rPr>
                <w:rFonts w:hint="eastAsia"/>
                <w:color w:val="000000"/>
                <w:sz w:val="28"/>
              </w:rPr>
            </w:pPr>
          </w:p>
        </w:tc>
        <w:tc>
          <w:tcPr>
            <w:tcW w:w="396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5545765">
            <w:pPr>
              <w:jc w:val="center"/>
              <w:rPr>
                <w:rFonts w:hint="eastAsia"/>
                <w:color w:val="000000"/>
                <w:sz w:val="28"/>
              </w:rPr>
            </w:pPr>
          </w:p>
        </w:tc>
      </w:tr>
      <w:tr w14:paraId="6CB9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trPr>
        <w:tc>
          <w:tcPr>
            <w:tcW w:w="2547"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AE46E85">
            <w:pPr>
              <w:jc w:val="center"/>
              <w:rPr>
                <w:rFonts w:hint="eastAsia"/>
                <w:color w:val="000000"/>
                <w:sz w:val="28"/>
              </w:rPr>
            </w:pPr>
            <w:r>
              <w:rPr>
                <w:rFonts w:hint="eastAsia"/>
                <w:color w:val="000000"/>
                <w:sz w:val="28"/>
              </w:rPr>
              <w:t>本工法应用的工程名称及实施时间</w:t>
            </w:r>
          </w:p>
        </w:tc>
        <w:tc>
          <w:tcPr>
            <w:tcW w:w="6633"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870DC21">
            <w:pPr>
              <w:jc w:val="center"/>
              <w:rPr>
                <w:rFonts w:hint="eastAsia"/>
                <w:color w:val="000000"/>
                <w:sz w:val="28"/>
              </w:rPr>
            </w:pPr>
          </w:p>
        </w:tc>
      </w:tr>
      <w:tr w14:paraId="6EA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trPr>
        <w:tc>
          <w:tcPr>
            <w:tcW w:w="2547"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89AD68C">
            <w:pPr>
              <w:jc w:val="center"/>
              <w:rPr>
                <w:rFonts w:hint="eastAsia"/>
                <w:color w:val="000000"/>
                <w:sz w:val="28"/>
              </w:rPr>
            </w:pPr>
            <w:r>
              <w:rPr>
                <w:rFonts w:hint="eastAsia"/>
                <w:color w:val="000000"/>
                <w:sz w:val="28"/>
              </w:rPr>
              <w:t>本工法关键技术</w:t>
            </w:r>
          </w:p>
          <w:p w14:paraId="57258390">
            <w:pPr>
              <w:jc w:val="center"/>
              <w:rPr>
                <w:rFonts w:hint="eastAsia"/>
                <w:color w:val="000000"/>
                <w:sz w:val="28"/>
              </w:rPr>
            </w:pPr>
            <w:r>
              <w:rPr>
                <w:rFonts w:hint="eastAsia"/>
                <w:color w:val="000000"/>
                <w:sz w:val="28"/>
              </w:rPr>
              <w:t>名称及鉴定时间</w:t>
            </w:r>
          </w:p>
        </w:tc>
        <w:tc>
          <w:tcPr>
            <w:tcW w:w="6633"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553508D2">
            <w:pPr>
              <w:jc w:val="center"/>
              <w:rPr>
                <w:rFonts w:hint="eastAsia"/>
                <w:color w:val="000000"/>
                <w:sz w:val="28"/>
              </w:rPr>
            </w:pPr>
          </w:p>
        </w:tc>
      </w:tr>
      <w:tr w14:paraId="6904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trPr>
        <w:tc>
          <w:tcPr>
            <w:tcW w:w="2547"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7D6A824">
            <w:pPr>
              <w:pStyle w:val="11"/>
              <w:rPr>
                <w:color w:val="000000"/>
              </w:rPr>
            </w:pPr>
            <w:r>
              <w:rPr>
                <w:rFonts w:hint="eastAsia"/>
                <w:color w:val="000000"/>
              </w:rPr>
              <w:t>本工法关键技术</w:t>
            </w:r>
          </w:p>
          <w:p w14:paraId="20FD2773">
            <w:pPr>
              <w:pStyle w:val="11"/>
              <w:rPr>
                <w:color w:val="000000"/>
              </w:rPr>
            </w:pPr>
            <w:r>
              <w:rPr>
                <w:rFonts w:hint="eastAsia"/>
                <w:color w:val="000000"/>
              </w:rPr>
              <w:t>获科技成果奖励</w:t>
            </w:r>
          </w:p>
          <w:p w14:paraId="2ADF2D5D">
            <w:pPr>
              <w:jc w:val="center"/>
              <w:rPr>
                <w:rFonts w:hint="eastAsia"/>
                <w:color w:val="000000"/>
                <w:sz w:val="28"/>
              </w:rPr>
            </w:pPr>
            <w:r>
              <w:rPr>
                <w:rFonts w:hint="eastAsia"/>
                <w:color w:val="000000"/>
                <w:sz w:val="28"/>
              </w:rPr>
              <w:t>情况</w:t>
            </w:r>
          </w:p>
        </w:tc>
        <w:tc>
          <w:tcPr>
            <w:tcW w:w="6633"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4EDC004E">
            <w:pPr>
              <w:jc w:val="center"/>
              <w:rPr>
                <w:rFonts w:hint="eastAsia"/>
                <w:color w:val="000000"/>
                <w:sz w:val="28"/>
              </w:rPr>
            </w:pPr>
          </w:p>
        </w:tc>
      </w:tr>
      <w:tr w14:paraId="27A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180" w:type="dxa"/>
            <w:gridSpan w:val="8"/>
            <w:tcBorders>
              <w:top w:val="single" w:color="auto" w:sz="4" w:space="0"/>
              <w:left w:val="single" w:color="auto" w:sz="4" w:space="0"/>
              <w:bottom w:val="single" w:color="auto" w:sz="4" w:space="0"/>
              <w:right w:val="single" w:color="auto" w:sz="4" w:space="0"/>
              <w:tl2br w:val="nil"/>
              <w:tr2bl w:val="nil"/>
            </w:tcBorders>
          </w:tcPr>
          <w:p w14:paraId="71A26A93">
            <w:pPr>
              <w:rPr>
                <w:rFonts w:hint="eastAsia"/>
                <w:color w:val="000000"/>
                <w:sz w:val="28"/>
              </w:rPr>
            </w:pPr>
            <w:r>
              <w:rPr>
                <w:rFonts w:hint="eastAsia"/>
                <w:color w:val="000000"/>
                <w:sz w:val="28"/>
              </w:rPr>
              <w:t>工法内容简述：</w:t>
            </w:r>
          </w:p>
          <w:p w14:paraId="620456C8">
            <w:pPr>
              <w:rPr>
                <w:rFonts w:hint="eastAsia"/>
                <w:color w:val="000000"/>
                <w:sz w:val="28"/>
              </w:rPr>
            </w:pPr>
          </w:p>
          <w:p w14:paraId="5B82100B">
            <w:pPr>
              <w:rPr>
                <w:rFonts w:hint="eastAsia"/>
                <w:color w:val="000000"/>
                <w:sz w:val="28"/>
              </w:rPr>
            </w:pPr>
          </w:p>
        </w:tc>
      </w:tr>
      <w:tr w14:paraId="357D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9180" w:type="dxa"/>
            <w:gridSpan w:val="8"/>
            <w:tcBorders>
              <w:top w:val="single" w:color="auto" w:sz="4" w:space="0"/>
              <w:left w:val="single" w:color="auto" w:sz="4" w:space="0"/>
              <w:bottom w:val="single" w:color="auto" w:sz="4" w:space="0"/>
              <w:right w:val="single" w:color="auto" w:sz="4" w:space="0"/>
              <w:tl2br w:val="nil"/>
              <w:tr2bl w:val="nil"/>
            </w:tcBorders>
          </w:tcPr>
          <w:p w14:paraId="693BC83E">
            <w:pPr>
              <w:rPr>
                <w:rFonts w:hint="eastAsia"/>
                <w:color w:val="000000"/>
                <w:sz w:val="28"/>
              </w:rPr>
            </w:pPr>
            <w:r>
              <w:rPr>
                <w:rFonts w:hint="eastAsia"/>
                <w:color w:val="000000"/>
                <w:sz w:val="28"/>
              </w:rPr>
              <w:t>关键技术及保密点（涉及专利请注明专利号）：</w:t>
            </w:r>
          </w:p>
        </w:tc>
      </w:tr>
      <w:tr w14:paraId="5BCE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trPr>
        <w:tc>
          <w:tcPr>
            <w:tcW w:w="9180" w:type="dxa"/>
            <w:gridSpan w:val="8"/>
            <w:tcBorders>
              <w:top w:val="single" w:color="auto" w:sz="4" w:space="0"/>
              <w:left w:val="single" w:color="auto" w:sz="4" w:space="0"/>
              <w:bottom w:val="single" w:color="auto" w:sz="4" w:space="0"/>
              <w:right w:val="single" w:color="auto" w:sz="4" w:space="0"/>
              <w:tl2br w:val="nil"/>
              <w:tr2bl w:val="nil"/>
            </w:tcBorders>
          </w:tcPr>
          <w:p w14:paraId="39C1D32B">
            <w:pPr>
              <w:rPr>
                <w:rFonts w:hint="eastAsia"/>
                <w:color w:val="000000"/>
                <w:sz w:val="28"/>
              </w:rPr>
            </w:pPr>
            <w:r>
              <w:rPr>
                <w:rFonts w:hint="eastAsia"/>
                <w:color w:val="000000"/>
                <w:sz w:val="28"/>
              </w:rPr>
              <w:t>技术水平和技术难度（包括与国内外同类技术水平比较）：</w:t>
            </w:r>
          </w:p>
        </w:tc>
      </w:tr>
      <w:tr w14:paraId="52D4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trPr>
        <w:tc>
          <w:tcPr>
            <w:tcW w:w="9180" w:type="dxa"/>
            <w:gridSpan w:val="8"/>
            <w:tcBorders>
              <w:top w:val="single" w:color="auto" w:sz="4" w:space="0"/>
              <w:left w:val="single" w:color="auto" w:sz="4" w:space="0"/>
              <w:bottom w:val="single" w:color="auto" w:sz="4" w:space="0"/>
              <w:right w:val="single" w:color="auto" w:sz="4" w:space="0"/>
              <w:tl2br w:val="nil"/>
              <w:tr2bl w:val="nil"/>
            </w:tcBorders>
          </w:tcPr>
          <w:p w14:paraId="2C6C53B9">
            <w:pPr>
              <w:rPr>
                <w:rFonts w:hint="eastAsia"/>
                <w:color w:val="000000"/>
                <w:sz w:val="28"/>
              </w:rPr>
            </w:pPr>
            <w:r>
              <w:rPr>
                <w:rFonts w:hint="eastAsia"/>
                <w:color w:val="000000"/>
                <w:sz w:val="28"/>
              </w:rPr>
              <w:t>工程应用情况及推广应用前景：</w:t>
            </w:r>
          </w:p>
        </w:tc>
      </w:tr>
      <w:tr w14:paraId="1AF9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trPr>
        <w:tc>
          <w:tcPr>
            <w:tcW w:w="9180" w:type="dxa"/>
            <w:gridSpan w:val="8"/>
            <w:tcBorders>
              <w:top w:val="single" w:color="auto" w:sz="4" w:space="0"/>
              <w:left w:val="single" w:color="auto" w:sz="4" w:space="0"/>
              <w:bottom w:val="single" w:color="auto" w:sz="4" w:space="0"/>
              <w:right w:val="single" w:color="auto" w:sz="4" w:space="0"/>
              <w:tl2br w:val="nil"/>
              <w:tr2bl w:val="nil"/>
            </w:tcBorders>
          </w:tcPr>
          <w:p w14:paraId="43BBE982">
            <w:pPr>
              <w:rPr>
                <w:rFonts w:hint="eastAsia"/>
                <w:color w:val="000000"/>
                <w:sz w:val="28"/>
              </w:rPr>
            </w:pPr>
            <w:r>
              <w:rPr>
                <w:rFonts w:hint="eastAsia"/>
                <w:color w:val="000000"/>
                <w:sz w:val="28"/>
              </w:rPr>
              <w:t>经济效益和社会效益：</w:t>
            </w:r>
          </w:p>
        </w:tc>
      </w:tr>
      <w:tr w14:paraId="7542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6" w:hRule="atLeast"/>
        </w:trPr>
        <w:tc>
          <w:tcPr>
            <w:tcW w:w="776" w:type="dxa"/>
            <w:tcBorders>
              <w:top w:val="single" w:color="auto" w:sz="4" w:space="0"/>
              <w:left w:val="single" w:color="auto" w:sz="4" w:space="0"/>
              <w:bottom w:val="single" w:color="auto" w:sz="4" w:space="0"/>
              <w:right w:val="single" w:color="auto" w:sz="4" w:space="0"/>
              <w:tl2br w:val="nil"/>
              <w:tr2bl w:val="nil"/>
            </w:tcBorders>
            <w:vAlign w:val="center"/>
          </w:tcPr>
          <w:p w14:paraId="03D885E5">
            <w:pPr>
              <w:rPr>
                <w:rFonts w:hint="eastAsia"/>
                <w:color w:val="000000"/>
                <w:sz w:val="28"/>
              </w:rPr>
            </w:pPr>
            <w:r>
              <w:rPr>
                <w:rFonts w:hint="eastAsia"/>
                <w:color w:val="000000"/>
                <w:sz w:val="28"/>
              </w:rPr>
              <w:t>工法完成单位意见</w:t>
            </w:r>
          </w:p>
        </w:tc>
        <w:tc>
          <w:tcPr>
            <w:tcW w:w="8404" w:type="dxa"/>
            <w:gridSpan w:val="7"/>
            <w:tcBorders>
              <w:top w:val="single" w:color="auto" w:sz="4" w:space="0"/>
              <w:left w:val="single" w:color="auto" w:sz="4" w:space="0"/>
              <w:bottom w:val="single" w:color="auto" w:sz="4" w:space="0"/>
              <w:right w:val="single" w:color="auto" w:sz="4" w:space="0"/>
              <w:tl2br w:val="nil"/>
              <w:tr2bl w:val="nil"/>
            </w:tcBorders>
          </w:tcPr>
          <w:p w14:paraId="24954ACE">
            <w:pPr>
              <w:rPr>
                <w:rFonts w:hint="eastAsia"/>
                <w:color w:val="000000"/>
                <w:sz w:val="28"/>
              </w:rPr>
            </w:pPr>
          </w:p>
          <w:p w14:paraId="0E63858C">
            <w:pPr>
              <w:rPr>
                <w:rFonts w:hint="eastAsia"/>
                <w:color w:val="000000"/>
                <w:sz w:val="28"/>
              </w:rPr>
            </w:pPr>
          </w:p>
          <w:p w14:paraId="1B0714FE">
            <w:pPr>
              <w:rPr>
                <w:rFonts w:hint="eastAsia"/>
                <w:color w:val="000000"/>
                <w:sz w:val="28"/>
              </w:rPr>
            </w:pPr>
          </w:p>
          <w:p w14:paraId="79BD1289">
            <w:pPr>
              <w:rPr>
                <w:rFonts w:hint="eastAsia"/>
                <w:color w:val="000000"/>
                <w:sz w:val="28"/>
              </w:rPr>
            </w:pPr>
          </w:p>
          <w:p w14:paraId="657D0FCC">
            <w:pPr>
              <w:ind w:firstLine="5320" w:firstLineChars="1900"/>
              <w:rPr>
                <w:rFonts w:hint="eastAsia"/>
                <w:color w:val="000000"/>
                <w:sz w:val="28"/>
              </w:rPr>
            </w:pPr>
          </w:p>
          <w:p w14:paraId="00CBDB5E">
            <w:pPr>
              <w:ind w:firstLine="5320" w:firstLineChars="1900"/>
              <w:rPr>
                <w:rFonts w:hint="eastAsia"/>
                <w:color w:val="000000"/>
                <w:sz w:val="28"/>
              </w:rPr>
            </w:pPr>
            <w:r>
              <w:rPr>
                <w:rFonts w:hint="eastAsia"/>
                <w:color w:val="000000"/>
                <w:sz w:val="28"/>
              </w:rPr>
              <w:t>年</w:t>
            </w:r>
            <w:r>
              <w:rPr>
                <w:color w:val="000000"/>
                <w:sz w:val="28"/>
              </w:rPr>
              <w:t xml:space="preserve">    </w:t>
            </w:r>
            <w:r>
              <w:rPr>
                <w:rFonts w:hint="eastAsia"/>
                <w:color w:val="000000"/>
                <w:sz w:val="28"/>
              </w:rPr>
              <w:t>月</w:t>
            </w:r>
            <w:r>
              <w:rPr>
                <w:color w:val="000000"/>
                <w:sz w:val="28"/>
              </w:rPr>
              <w:t xml:space="preserve">    </w:t>
            </w:r>
            <w:r>
              <w:rPr>
                <w:rFonts w:hint="eastAsia"/>
                <w:color w:val="000000"/>
                <w:sz w:val="28"/>
              </w:rPr>
              <w:t>日</w:t>
            </w:r>
          </w:p>
          <w:p w14:paraId="27AB64B0">
            <w:pPr>
              <w:ind w:firstLine="5740" w:firstLineChars="2050"/>
              <w:rPr>
                <w:rFonts w:hint="eastAsia"/>
                <w:color w:val="000000"/>
                <w:sz w:val="28"/>
              </w:rPr>
            </w:pPr>
            <w:r>
              <w:rPr>
                <w:rFonts w:hint="eastAsia"/>
                <w:color w:val="000000"/>
                <w:sz w:val="28"/>
              </w:rPr>
              <w:t>（公章）</w:t>
            </w:r>
          </w:p>
        </w:tc>
      </w:tr>
    </w:tbl>
    <w:p w14:paraId="1573E666">
      <w:pPr>
        <w:rPr>
          <w:rFonts w:hint="eastAsia"/>
        </w:rPr>
      </w:pPr>
    </w:p>
    <w:p w14:paraId="1A5AA38F">
      <w:pPr>
        <w:rPr>
          <w:rFonts w:hint="eastAsia"/>
        </w:rPr>
      </w:pPr>
    </w:p>
    <w:p w14:paraId="4287E123">
      <w:pPr>
        <w:spacing w:line="500" w:lineRule="exact"/>
        <w:rPr>
          <w:rFonts w:hint="eastAsia" w:ascii="宋体" w:hAnsi="宋体"/>
          <w:sz w:val="28"/>
          <w:szCs w:val="28"/>
        </w:rPr>
      </w:pPr>
      <w:r>
        <w:rPr>
          <w:rFonts w:hint="eastAsia" w:ascii="宋体" w:hAnsi="宋体"/>
          <w:sz w:val="28"/>
          <w:szCs w:val="28"/>
        </w:rPr>
        <w:t>附件2：</w:t>
      </w:r>
    </w:p>
    <w:p w14:paraId="71D4D3FA">
      <w:pPr>
        <w:spacing w:line="500" w:lineRule="exact"/>
        <w:jc w:val="center"/>
        <w:rPr>
          <w:rFonts w:hint="eastAsia" w:ascii="宋体" w:hAnsi="宋体"/>
          <w:b/>
          <w:sz w:val="44"/>
          <w:szCs w:val="44"/>
        </w:rPr>
      </w:pPr>
      <w:r>
        <w:rPr>
          <w:rFonts w:hint="eastAsia" w:ascii="宋体" w:hAnsi="宋体"/>
          <w:b/>
          <w:sz w:val="44"/>
          <w:szCs w:val="44"/>
        </w:rPr>
        <w:t>化工施工工法审定意见书</w:t>
      </w:r>
    </w:p>
    <w:p w14:paraId="0CD51CFA">
      <w:pPr>
        <w:spacing w:line="500" w:lineRule="exact"/>
        <w:rPr>
          <w:rFonts w:hint="eastAsia" w:ascii="宋体" w:hAnsi="宋体"/>
          <w:sz w:val="28"/>
          <w:szCs w:val="28"/>
        </w:rPr>
      </w:pPr>
      <w:r>
        <w:rPr>
          <w:rFonts w:hint="eastAsia" w:ascii="宋体" w:hAnsi="宋体"/>
          <w:sz w:val="28"/>
          <w:szCs w:val="28"/>
        </w:rPr>
        <w:t>编号：</w:t>
      </w:r>
      <w:r>
        <w:rPr>
          <w:rFonts w:ascii="宋体" w:hAnsi="宋体"/>
          <w:sz w:val="28"/>
          <w:szCs w:val="28"/>
        </w:rPr>
        <w:t xml:space="preserve">                            </w:t>
      </w:r>
      <w:r>
        <w:rPr>
          <w:rFonts w:hint="eastAsia" w:ascii="宋体" w:hAnsi="宋体"/>
          <w:sz w:val="28"/>
          <w:szCs w:val="28"/>
        </w:rPr>
        <w:t>专业：</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CF6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522" w:type="dxa"/>
            <w:tcBorders>
              <w:top w:val="single" w:color="auto" w:sz="4" w:space="0"/>
              <w:left w:val="single" w:color="auto" w:sz="4" w:space="0"/>
              <w:bottom w:val="single" w:color="auto" w:sz="4" w:space="0"/>
              <w:right w:val="single" w:color="auto" w:sz="4" w:space="0"/>
            </w:tcBorders>
          </w:tcPr>
          <w:p w14:paraId="66C55FBC">
            <w:pPr>
              <w:jc w:val="left"/>
              <w:rPr>
                <w:rFonts w:hint="eastAsia" w:ascii="宋体" w:hAnsi="宋体"/>
                <w:sz w:val="28"/>
                <w:szCs w:val="28"/>
              </w:rPr>
            </w:pPr>
            <w:r>
              <w:rPr>
                <w:rFonts w:hint="eastAsia" w:ascii="宋体" w:hAnsi="宋体"/>
                <w:sz w:val="28"/>
                <w:szCs w:val="28"/>
              </w:rPr>
              <w:t>工法名称：</w:t>
            </w:r>
          </w:p>
        </w:tc>
      </w:tr>
      <w:tr w14:paraId="53A6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5CD788C5">
            <w:pPr>
              <w:spacing w:line="500" w:lineRule="exact"/>
              <w:rPr>
                <w:rFonts w:hint="eastAsia" w:ascii="宋体" w:hAnsi="宋体"/>
                <w:sz w:val="28"/>
                <w:szCs w:val="28"/>
              </w:rPr>
            </w:pPr>
            <w:r>
              <w:rPr>
                <w:rFonts w:hint="eastAsia" w:ascii="宋体" w:hAnsi="宋体"/>
                <w:sz w:val="28"/>
                <w:szCs w:val="28"/>
              </w:rPr>
              <w:t>申报单位：</w:t>
            </w:r>
          </w:p>
        </w:tc>
      </w:tr>
      <w:tr w14:paraId="5DEA4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7" w:hRule="atLeast"/>
        </w:trPr>
        <w:tc>
          <w:tcPr>
            <w:tcW w:w="8522" w:type="dxa"/>
            <w:tcBorders>
              <w:top w:val="single" w:color="auto" w:sz="4" w:space="0"/>
              <w:left w:val="single" w:color="auto" w:sz="4" w:space="0"/>
              <w:bottom w:val="single" w:color="auto" w:sz="4" w:space="0"/>
              <w:right w:val="single" w:color="auto" w:sz="4" w:space="0"/>
            </w:tcBorders>
          </w:tcPr>
          <w:p w14:paraId="3FD2573D">
            <w:pPr>
              <w:spacing w:line="500" w:lineRule="exact"/>
              <w:rPr>
                <w:rFonts w:hint="eastAsia" w:cs="仿宋" w:asciiTheme="minorEastAsia" w:hAnsiTheme="minorEastAsia"/>
                <w:sz w:val="28"/>
                <w:szCs w:val="28"/>
              </w:rPr>
            </w:pPr>
            <w:r>
              <w:rPr>
                <w:rFonts w:hint="eastAsia" w:cs="仿宋" w:asciiTheme="minorEastAsia" w:hAnsiTheme="minorEastAsia"/>
                <w:sz w:val="28"/>
                <w:szCs w:val="28"/>
              </w:rPr>
              <w:t>审定结论：</w:t>
            </w:r>
          </w:p>
          <w:p w14:paraId="03699794">
            <w:pPr>
              <w:spacing w:line="500" w:lineRule="exact"/>
              <w:rPr>
                <w:rFonts w:hint="eastAsia" w:cs="仿宋" w:asciiTheme="minorEastAsia" w:hAnsiTheme="minorEastAsia"/>
                <w:sz w:val="28"/>
                <w:szCs w:val="28"/>
              </w:rPr>
            </w:pPr>
          </w:p>
          <w:p w14:paraId="04E8C922">
            <w:pPr>
              <w:spacing w:line="500" w:lineRule="exact"/>
              <w:rPr>
                <w:rFonts w:hint="eastAsia" w:cs="仿宋" w:asciiTheme="minorEastAsia" w:hAnsiTheme="minorEastAsia"/>
                <w:sz w:val="28"/>
                <w:szCs w:val="28"/>
              </w:rPr>
            </w:pPr>
          </w:p>
          <w:p w14:paraId="7178D1F3">
            <w:pPr>
              <w:spacing w:line="500" w:lineRule="exact"/>
              <w:rPr>
                <w:rFonts w:hint="eastAsia" w:cs="仿宋" w:asciiTheme="minorEastAsia" w:hAnsiTheme="minorEastAsia"/>
                <w:sz w:val="28"/>
                <w:szCs w:val="28"/>
              </w:rPr>
            </w:pPr>
          </w:p>
          <w:p w14:paraId="431B44BF">
            <w:pPr>
              <w:spacing w:line="500" w:lineRule="exact"/>
              <w:rPr>
                <w:rFonts w:hint="eastAsia" w:cs="仿宋" w:asciiTheme="minorEastAsia" w:hAnsiTheme="minorEastAsia"/>
                <w:sz w:val="28"/>
                <w:szCs w:val="28"/>
              </w:rPr>
            </w:pPr>
          </w:p>
          <w:p w14:paraId="08293BC4">
            <w:pPr>
              <w:spacing w:line="500" w:lineRule="exact"/>
              <w:rPr>
                <w:rFonts w:hint="eastAsia" w:cs="仿宋" w:asciiTheme="minorEastAsia" w:hAnsiTheme="minorEastAsia"/>
                <w:sz w:val="28"/>
                <w:szCs w:val="28"/>
              </w:rPr>
            </w:pPr>
          </w:p>
          <w:p w14:paraId="30E682A7">
            <w:pPr>
              <w:spacing w:line="500" w:lineRule="exact"/>
              <w:rPr>
                <w:rFonts w:hint="eastAsia" w:cs="仿宋" w:asciiTheme="minorEastAsia" w:hAnsiTheme="minorEastAsia"/>
                <w:sz w:val="28"/>
                <w:szCs w:val="28"/>
              </w:rPr>
            </w:pPr>
          </w:p>
          <w:p w14:paraId="162F2034">
            <w:pPr>
              <w:spacing w:line="500" w:lineRule="exact"/>
              <w:rPr>
                <w:rFonts w:hint="eastAsia" w:cs="仿宋" w:asciiTheme="minorEastAsia" w:hAnsiTheme="minorEastAsia"/>
                <w:sz w:val="28"/>
                <w:szCs w:val="28"/>
              </w:rPr>
            </w:pPr>
          </w:p>
          <w:p w14:paraId="28F33512">
            <w:pPr>
              <w:spacing w:line="500" w:lineRule="exact"/>
              <w:rPr>
                <w:rFonts w:hint="eastAsia" w:cs="仿宋" w:asciiTheme="minorEastAsia" w:hAnsiTheme="minorEastAsia"/>
                <w:sz w:val="28"/>
                <w:szCs w:val="28"/>
              </w:rPr>
            </w:pPr>
          </w:p>
          <w:p w14:paraId="1547C6A3">
            <w:pPr>
              <w:spacing w:line="500" w:lineRule="exact"/>
              <w:rPr>
                <w:rFonts w:hint="eastAsia" w:cs="仿宋" w:asciiTheme="minorEastAsia" w:hAnsiTheme="minorEastAsia"/>
                <w:sz w:val="28"/>
                <w:szCs w:val="28"/>
              </w:rPr>
            </w:pPr>
          </w:p>
          <w:p w14:paraId="7D9C1F8C">
            <w:pPr>
              <w:spacing w:line="500" w:lineRule="exact"/>
              <w:rPr>
                <w:rFonts w:hint="eastAsia" w:cs="仿宋" w:asciiTheme="minorEastAsia" w:hAnsiTheme="minorEastAsia"/>
                <w:sz w:val="28"/>
                <w:szCs w:val="28"/>
              </w:rPr>
            </w:pPr>
          </w:p>
          <w:p w14:paraId="697330DF">
            <w:pPr>
              <w:spacing w:line="500" w:lineRule="exact"/>
              <w:rPr>
                <w:rFonts w:hint="eastAsia" w:cs="仿宋" w:asciiTheme="minorEastAsia" w:hAnsiTheme="minorEastAsia"/>
                <w:sz w:val="28"/>
                <w:szCs w:val="28"/>
              </w:rPr>
            </w:pPr>
          </w:p>
          <w:p w14:paraId="0326D453">
            <w:pPr>
              <w:spacing w:line="500" w:lineRule="exact"/>
              <w:rPr>
                <w:rFonts w:hint="eastAsia" w:cs="仿宋" w:asciiTheme="minorEastAsia" w:hAnsiTheme="minorEastAsia"/>
                <w:sz w:val="28"/>
                <w:szCs w:val="28"/>
              </w:rPr>
            </w:pPr>
          </w:p>
          <w:p w14:paraId="03AC2A8E">
            <w:pPr>
              <w:spacing w:line="500" w:lineRule="exact"/>
              <w:rPr>
                <w:rFonts w:hint="eastAsia" w:cs="仿宋" w:asciiTheme="minorEastAsia" w:hAnsiTheme="minorEastAsia"/>
                <w:sz w:val="28"/>
                <w:szCs w:val="28"/>
              </w:rPr>
            </w:pPr>
          </w:p>
          <w:p w14:paraId="7A884EC0">
            <w:pPr>
              <w:spacing w:line="500" w:lineRule="exact"/>
              <w:rPr>
                <w:rFonts w:hint="eastAsia" w:cs="仿宋" w:asciiTheme="minorEastAsia" w:hAnsiTheme="minorEastAsia"/>
                <w:sz w:val="28"/>
                <w:szCs w:val="28"/>
              </w:rPr>
            </w:pPr>
          </w:p>
          <w:p w14:paraId="7EE9381E">
            <w:pPr>
              <w:spacing w:line="500" w:lineRule="exact"/>
              <w:ind w:firstLine="3220" w:firstLineChars="1150"/>
              <w:rPr>
                <w:rFonts w:hint="eastAsia" w:cs="仿宋" w:asciiTheme="minorEastAsia" w:hAnsiTheme="minorEastAsia"/>
                <w:sz w:val="28"/>
                <w:szCs w:val="28"/>
              </w:rPr>
            </w:pPr>
            <w:r>
              <w:rPr>
                <w:rFonts w:hint="eastAsia" w:cs="仿宋" w:asciiTheme="minorEastAsia" w:hAnsiTheme="minorEastAsia"/>
                <w:sz w:val="28"/>
                <w:szCs w:val="28"/>
              </w:rPr>
              <w:t>评审组组长（签字）：</w:t>
            </w:r>
          </w:p>
          <w:p w14:paraId="541AC003">
            <w:pPr>
              <w:spacing w:line="500" w:lineRule="exact"/>
              <w:rPr>
                <w:rFonts w:hint="eastAsia" w:cs="仿宋" w:asciiTheme="minorEastAsia" w:hAnsiTheme="minorEastAsia"/>
                <w:sz w:val="28"/>
                <w:szCs w:val="28"/>
              </w:rPr>
            </w:pP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年</w:t>
            </w:r>
            <w:r>
              <w:rPr>
                <w:rFonts w:cs="仿宋" w:asciiTheme="minorEastAsia" w:hAnsiTheme="minorEastAsia"/>
                <w:sz w:val="28"/>
                <w:szCs w:val="28"/>
              </w:rPr>
              <w:t xml:space="preserve">  </w:t>
            </w:r>
            <w:r>
              <w:rPr>
                <w:rFonts w:hint="eastAsia" w:cs="仿宋" w:asciiTheme="minorEastAsia" w:hAnsiTheme="minorEastAsia"/>
                <w:sz w:val="28"/>
                <w:szCs w:val="28"/>
              </w:rPr>
              <w:t>月</w:t>
            </w:r>
            <w:r>
              <w:rPr>
                <w:rFonts w:cs="仿宋" w:asciiTheme="minorEastAsia" w:hAnsiTheme="minorEastAsia"/>
                <w:sz w:val="28"/>
                <w:szCs w:val="28"/>
              </w:rPr>
              <w:t xml:space="preserve">  </w:t>
            </w:r>
            <w:r>
              <w:rPr>
                <w:rFonts w:hint="eastAsia" w:cs="仿宋" w:asciiTheme="minorEastAsia" w:hAnsiTheme="minorEastAsia"/>
                <w:sz w:val="28"/>
                <w:szCs w:val="28"/>
              </w:rPr>
              <w:t>日</w:t>
            </w:r>
          </w:p>
          <w:p w14:paraId="21451E04">
            <w:pPr>
              <w:spacing w:line="500" w:lineRule="exact"/>
              <w:ind w:firstLine="140" w:firstLineChars="50"/>
              <w:rPr>
                <w:rFonts w:hint="eastAsia" w:cs="仿宋" w:asciiTheme="minorEastAsia" w:hAnsiTheme="minorEastAsia"/>
                <w:sz w:val="28"/>
                <w:szCs w:val="28"/>
              </w:rPr>
            </w:pPr>
            <w:r>
              <w:rPr>
                <w:rFonts w:cs="仿宋" w:asciiTheme="minorEastAsia" w:hAnsiTheme="minorEastAsia"/>
                <w:sz w:val="28"/>
                <w:szCs w:val="28"/>
              </w:rPr>
              <w:t xml:space="preserve">              </w:t>
            </w:r>
            <w:r>
              <w:rPr>
                <w:rFonts w:hint="eastAsia" w:cs="仿宋" w:asciiTheme="minorEastAsia" w:hAnsiTheme="minorEastAsia"/>
                <w:sz w:val="28"/>
                <w:szCs w:val="28"/>
              </w:rPr>
              <w:t>评审委员会主任委员（签字）：</w:t>
            </w:r>
          </w:p>
          <w:p w14:paraId="739D3AA5">
            <w:pPr>
              <w:spacing w:line="500" w:lineRule="exact"/>
              <w:rPr>
                <w:rFonts w:hint="eastAsia" w:cs="仿宋" w:asciiTheme="minorEastAsia" w:hAnsiTheme="minorEastAsia"/>
                <w:sz w:val="28"/>
                <w:szCs w:val="28"/>
              </w:rPr>
            </w:pP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年</w:t>
            </w:r>
            <w:r>
              <w:rPr>
                <w:rFonts w:cs="仿宋" w:asciiTheme="minorEastAsia" w:hAnsiTheme="minorEastAsia"/>
                <w:sz w:val="28"/>
                <w:szCs w:val="28"/>
              </w:rPr>
              <w:t xml:space="preserve">  </w:t>
            </w:r>
            <w:r>
              <w:rPr>
                <w:rFonts w:hint="eastAsia" w:cs="仿宋" w:asciiTheme="minorEastAsia" w:hAnsiTheme="minorEastAsia"/>
                <w:sz w:val="28"/>
                <w:szCs w:val="28"/>
              </w:rPr>
              <w:t>月</w:t>
            </w:r>
            <w:r>
              <w:rPr>
                <w:rFonts w:cs="仿宋" w:asciiTheme="minorEastAsia" w:hAnsiTheme="minorEastAsia"/>
                <w:sz w:val="28"/>
                <w:szCs w:val="28"/>
              </w:rPr>
              <w:t xml:space="preserve">  </w:t>
            </w:r>
            <w:r>
              <w:rPr>
                <w:rFonts w:hint="eastAsia" w:cs="仿宋" w:asciiTheme="minorEastAsia" w:hAnsiTheme="minorEastAsia"/>
                <w:sz w:val="28"/>
                <w:szCs w:val="28"/>
              </w:rPr>
              <w:t>日</w:t>
            </w:r>
          </w:p>
          <w:p w14:paraId="71DFB8CF">
            <w:pPr>
              <w:spacing w:line="500" w:lineRule="exact"/>
              <w:rPr>
                <w:rFonts w:hint="eastAsia" w:cs="仿宋" w:asciiTheme="minorEastAsia" w:hAnsiTheme="minorEastAsia"/>
                <w:sz w:val="28"/>
                <w:szCs w:val="28"/>
              </w:rPr>
            </w:pP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中国化工建设企业协会（盖章）：</w:t>
            </w:r>
          </w:p>
          <w:p w14:paraId="2EC1DA8E">
            <w:pPr>
              <w:spacing w:line="500" w:lineRule="exact"/>
              <w:rPr>
                <w:rFonts w:hint="eastAsia" w:cs="仿宋" w:asciiTheme="minorEastAsia" w:hAnsiTheme="minorEastAsia"/>
                <w:sz w:val="28"/>
                <w:szCs w:val="28"/>
              </w:rPr>
            </w:pP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 xml:space="preserve">             </w:t>
            </w:r>
            <w:r>
              <w:rPr>
                <w:rFonts w:cs="仿宋" w:asciiTheme="minorEastAsia" w:hAnsiTheme="minorEastAsia"/>
                <w:sz w:val="28"/>
                <w:szCs w:val="28"/>
              </w:rPr>
              <w:t xml:space="preserve">  </w:t>
            </w:r>
            <w:r>
              <w:rPr>
                <w:rFonts w:hint="eastAsia" w:cs="仿宋" w:asciiTheme="minorEastAsia" w:hAnsiTheme="minorEastAsia"/>
                <w:sz w:val="28"/>
                <w:szCs w:val="28"/>
              </w:rPr>
              <w:t>年</w:t>
            </w:r>
            <w:r>
              <w:rPr>
                <w:rFonts w:cs="仿宋" w:asciiTheme="minorEastAsia" w:hAnsiTheme="minorEastAsia"/>
                <w:sz w:val="28"/>
                <w:szCs w:val="28"/>
              </w:rPr>
              <w:t xml:space="preserve">  </w:t>
            </w:r>
            <w:r>
              <w:rPr>
                <w:rFonts w:hint="eastAsia" w:cs="仿宋" w:asciiTheme="minorEastAsia" w:hAnsiTheme="minorEastAsia"/>
                <w:sz w:val="28"/>
                <w:szCs w:val="28"/>
              </w:rPr>
              <w:t>月</w:t>
            </w:r>
            <w:r>
              <w:rPr>
                <w:rFonts w:cs="仿宋" w:asciiTheme="minorEastAsia" w:hAnsiTheme="minorEastAsia"/>
                <w:sz w:val="28"/>
                <w:szCs w:val="28"/>
              </w:rPr>
              <w:t xml:space="preserve">  </w:t>
            </w:r>
            <w:r>
              <w:rPr>
                <w:rFonts w:hint="eastAsia" w:cs="仿宋" w:asciiTheme="minorEastAsia" w:hAnsiTheme="minorEastAsia"/>
                <w:sz w:val="28"/>
                <w:szCs w:val="28"/>
              </w:rPr>
              <w:t>日</w:t>
            </w:r>
          </w:p>
        </w:tc>
      </w:tr>
    </w:tbl>
    <w:p w14:paraId="322B4FE6">
      <w:pPr>
        <w:spacing w:line="540" w:lineRule="exact"/>
        <w:rPr>
          <w:rFonts w:hint="eastAsia" w:ascii="宋体" w:hAnsi="宋体" w:eastAsia="宋体"/>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4299189"/>
      <w:docPartObj>
        <w:docPartGallery w:val="AutoText"/>
      </w:docPartObj>
    </w:sdtPr>
    <w:sdtContent>
      <w:p w14:paraId="63F22422">
        <w:pPr>
          <w:pStyle w:val="13"/>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A6F57EC">
    <w:pPr>
      <w:pStyle w:val="1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E79"/>
    <w:rsid w:val="0000299D"/>
    <w:rsid w:val="000738CB"/>
    <w:rsid w:val="0008690F"/>
    <w:rsid w:val="000A07F2"/>
    <w:rsid w:val="000A0D3E"/>
    <w:rsid w:val="001B633F"/>
    <w:rsid w:val="00216284"/>
    <w:rsid w:val="00267812"/>
    <w:rsid w:val="002830EE"/>
    <w:rsid w:val="00334B44"/>
    <w:rsid w:val="004D0454"/>
    <w:rsid w:val="005056E8"/>
    <w:rsid w:val="005E78D4"/>
    <w:rsid w:val="006348FB"/>
    <w:rsid w:val="00650A69"/>
    <w:rsid w:val="008D3264"/>
    <w:rsid w:val="00941687"/>
    <w:rsid w:val="00A81A8D"/>
    <w:rsid w:val="00A91F12"/>
    <w:rsid w:val="00B6252D"/>
    <w:rsid w:val="00CB1E79"/>
    <w:rsid w:val="00D1734F"/>
    <w:rsid w:val="00EA44D8"/>
    <w:rsid w:val="00F37D8B"/>
    <w:rsid w:val="00F74502"/>
    <w:rsid w:val="3F1E3F03"/>
    <w:rsid w:val="5B301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0"/>
    <w:unhideWhenUsed/>
    <w:qFormat/>
    <w:uiPriority w:val="0"/>
    <w:pPr>
      <w:widowControl/>
      <w:jc w:val="center"/>
    </w:pPr>
    <w:rPr>
      <w:rFonts w:ascii="Times New Roman" w:hAnsi="Times New Roman" w:eastAsia="宋体" w:cs="Times New Roman"/>
      <w:sz w:val="28"/>
      <w:szCs w:val="24"/>
    </w:rPr>
  </w:style>
  <w:style w:type="paragraph" w:styleId="12">
    <w:name w:val="Date"/>
    <w:basedOn w:val="1"/>
    <w:next w:val="1"/>
    <w:link w:val="39"/>
    <w:semiHidden/>
    <w:unhideWhenUsed/>
    <w:qFormat/>
    <w:uiPriority w:val="99"/>
    <w:pPr>
      <w:ind w:left="100" w:leftChars="2500"/>
    </w:pPr>
  </w:style>
  <w:style w:type="paragraph" w:styleId="13">
    <w:name w:val="footer"/>
    <w:basedOn w:val="1"/>
    <w:link w:val="38"/>
    <w:unhideWhenUsed/>
    <w:qFormat/>
    <w:uiPriority w:val="99"/>
    <w:pPr>
      <w:tabs>
        <w:tab w:val="center" w:pos="4153"/>
        <w:tab w:val="right" w:pos="8306"/>
      </w:tabs>
      <w:snapToGrid w:val="0"/>
      <w:jc w:val="left"/>
    </w:pPr>
    <w:rPr>
      <w:sz w:val="18"/>
      <w:szCs w:val="18"/>
    </w:rPr>
  </w:style>
  <w:style w:type="paragraph" w:styleId="14">
    <w:name w:val="header"/>
    <w:basedOn w:val="1"/>
    <w:link w:val="37"/>
    <w:unhideWhenUsed/>
    <w:qFormat/>
    <w:uiPriority w:val="99"/>
    <w:pPr>
      <w:tabs>
        <w:tab w:val="center" w:pos="4153"/>
        <w:tab w:val="right" w:pos="8306"/>
      </w:tabs>
      <w:snapToGrid w:val="0"/>
      <w:jc w:val="center"/>
    </w:pPr>
    <w:rPr>
      <w:sz w:val="18"/>
      <w:szCs w:val="18"/>
    </w:rPr>
  </w:style>
  <w:style w:type="paragraph" w:styleId="15">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szCs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smallCaps/>
      <w:color w:val="104862" w:themeColor="accent1" w:themeShade="BF"/>
      <w:spacing w:val="5"/>
    </w:rPr>
  </w:style>
  <w:style w:type="character" w:customStyle="1" w:styleId="37">
    <w:name w:val="页眉 字符"/>
    <w:basedOn w:val="18"/>
    <w:link w:val="14"/>
    <w:qFormat/>
    <w:uiPriority w:val="99"/>
    <w:rPr>
      <w:sz w:val="18"/>
      <w:szCs w:val="18"/>
    </w:rPr>
  </w:style>
  <w:style w:type="character" w:customStyle="1" w:styleId="38">
    <w:name w:val="页脚 字符"/>
    <w:basedOn w:val="18"/>
    <w:link w:val="13"/>
    <w:qFormat/>
    <w:uiPriority w:val="99"/>
    <w:rPr>
      <w:sz w:val="18"/>
      <w:szCs w:val="18"/>
    </w:rPr>
  </w:style>
  <w:style w:type="character" w:customStyle="1" w:styleId="39">
    <w:name w:val="日期 字符"/>
    <w:basedOn w:val="18"/>
    <w:link w:val="12"/>
    <w:semiHidden/>
    <w:uiPriority w:val="99"/>
  </w:style>
  <w:style w:type="character" w:customStyle="1" w:styleId="40">
    <w:name w:val="正文文本 字符"/>
    <w:basedOn w:val="18"/>
    <w:link w:val="11"/>
    <w:qFormat/>
    <w:uiPriority w:val="0"/>
    <w:rPr>
      <w:rFonts w:ascii="Times New Roman" w:hAnsi="Times New Roman" w:eastAsia="宋体" w:cs="Times New Roman"/>
      <w:sz w:val="2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147</Words>
  <Characters>165</Characters>
  <Lines>181</Lines>
  <Paragraphs>138</Paragraphs>
  <TotalTime>33</TotalTime>
  <ScaleCrop>false</ScaleCrop>
  <LinksUpToDate>false</LinksUpToDate>
  <CharactersWithSpaces>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2026-09-30T02:00:00Z</dcterms:created>
  <dc:creator>s60281223@126.com</dc:creator>
  <cp:lastModifiedBy>。。。</cp:lastModifiedBy>
  <dcterms:modified xsi:type="dcterms:W3CDTF">2026-10-15T08:00:31Z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F7F9B9A25F344489A96D86B7F48F7447_13</vt:lpwstr>
  </property>
  <property fmtid="{D5CDD505-2E9C-101B-9397-08002B2CF9AE}" pid="4" name="KSOTemplateDocerSaveRecord">
    <vt:lpwstr>eyJoZGlkIjoiOTQ0OTE5MzYyZGQ1ZGRhZDBjNGE0MTBhZmJjODk4M2EiLCJ1c2VySWQiOiIyMjkzNTA4MzcifQ==</vt:lpwstr>
  </property>
</Properties>
</file>