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93230" w14:textId="77777777" w:rsidR="00346F78" w:rsidRDefault="00000000">
      <w:pPr>
        <w:pStyle w:val="1"/>
        <w:spacing w:before="0" w:after="0" w:line="520" w:lineRule="exact"/>
        <w:rPr>
          <w:rFonts w:ascii="宋体" w:eastAsia="宋体" w:hAnsi="宋体" w:cs="宋体" w:hint="eastAsia"/>
          <w:color w:val="000000" w:themeColor="text1"/>
          <w:sz w:val="36"/>
          <w:szCs w:val="36"/>
        </w:rPr>
      </w:pPr>
      <w:r>
        <w:rPr>
          <w:rFonts w:ascii="宋体" w:eastAsia="宋体" w:hAnsi="宋体" w:cs="Times New Roman" w:hint="eastAsia"/>
          <w:b w:val="0"/>
          <w:bCs w:val="0"/>
          <w:color w:val="000000" w:themeColor="text1"/>
          <w:kern w:val="0"/>
          <w:sz w:val="28"/>
          <w:szCs w:val="24"/>
          <w:shd w:val="clear" w:color="auto" w:fill="FFFFFF"/>
        </w:rPr>
        <w:t>附件：</w:t>
      </w:r>
    </w:p>
    <w:p w14:paraId="6B2712E2" w14:textId="77777777" w:rsidR="00346F78" w:rsidRDefault="00346F78">
      <w:pPr>
        <w:rPr>
          <w:color w:val="000000" w:themeColor="text1"/>
        </w:rPr>
      </w:pPr>
    </w:p>
    <w:p w14:paraId="550C51D3" w14:textId="77777777" w:rsidR="00346F78" w:rsidRDefault="00000000">
      <w:pPr>
        <w:pStyle w:val="1"/>
        <w:spacing w:before="0" w:after="0" w:line="520" w:lineRule="exact"/>
        <w:jc w:val="center"/>
        <w:rPr>
          <w:rFonts w:ascii="宋体" w:eastAsia="宋体" w:hAnsi="宋体" w:cs="宋体" w:hint="eastAsia"/>
          <w:color w:val="000000" w:themeColor="text1"/>
          <w:sz w:val="36"/>
          <w:szCs w:val="36"/>
        </w:rPr>
      </w:pPr>
      <w:r>
        <w:rPr>
          <w:rFonts w:ascii="宋体" w:eastAsia="宋体" w:hAnsi="宋体" w:cs="宋体" w:hint="eastAsia"/>
          <w:color w:val="000000" w:themeColor="text1"/>
          <w:sz w:val="36"/>
          <w:szCs w:val="36"/>
        </w:rPr>
        <w:t>中国化工建设企业协会</w:t>
      </w:r>
    </w:p>
    <w:p w14:paraId="54ABF0E1" w14:textId="77777777" w:rsidR="00346F78" w:rsidRDefault="00000000">
      <w:pPr>
        <w:pStyle w:val="1"/>
        <w:spacing w:before="0" w:after="0" w:line="520" w:lineRule="exact"/>
        <w:jc w:val="center"/>
        <w:rPr>
          <w:rFonts w:ascii="宋体" w:eastAsia="宋体" w:hAnsi="宋体" w:cs="宋体" w:hint="eastAsia"/>
          <w:color w:val="000000" w:themeColor="text1"/>
          <w:sz w:val="36"/>
          <w:szCs w:val="36"/>
        </w:rPr>
      </w:pPr>
      <w:r>
        <w:rPr>
          <w:rFonts w:ascii="宋体" w:eastAsia="宋体" w:hAnsi="宋体" w:cs="宋体" w:hint="eastAsia"/>
          <w:color w:val="000000" w:themeColor="text1"/>
          <w:sz w:val="36"/>
          <w:szCs w:val="36"/>
        </w:rPr>
        <w:t>优秀专利征集推荐管理办法</w:t>
      </w:r>
    </w:p>
    <w:p w14:paraId="6344D0C9" w14:textId="77777777" w:rsidR="00346F78" w:rsidRDefault="00000000">
      <w:pPr>
        <w:spacing w:line="520" w:lineRule="exact"/>
        <w:jc w:val="center"/>
        <w:rPr>
          <w:rFonts w:ascii="宋体" w:hAnsi="宋体" w:cs="宋体" w:hint="eastAsia"/>
          <w:bCs/>
          <w:color w:val="000000" w:themeColor="text1"/>
          <w:sz w:val="28"/>
          <w:szCs w:val="28"/>
        </w:rPr>
      </w:pPr>
      <w:r>
        <w:rPr>
          <w:rFonts w:ascii="宋体" w:hAnsi="宋体" w:cs="宋体" w:hint="eastAsia"/>
          <w:bCs/>
          <w:color w:val="000000" w:themeColor="text1"/>
          <w:sz w:val="28"/>
          <w:szCs w:val="28"/>
        </w:rPr>
        <w:t>（</w:t>
      </w:r>
      <w:r>
        <w:rPr>
          <w:rFonts w:ascii="宋体" w:eastAsia="宋体" w:hAnsi="宋体" w:cs="宋体" w:hint="eastAsia"/>
          <w:bCs/>
          <w:color w:val="000000" w:themeColor="text1"/>
          <w:sz w:val="28"/>
          <w:szCs w:val="28"/>
        </w:rPr>
        <w:t>2021年4月6日</w:t>
      </w:r>
      <w:r>
        <w:rPr>
          <w:rFonts w:ascii="宋体" w:hAnsi="宋体" w:cs="宋体" w:hint="eastAsia"/>
          <w:bCs/>
          <w:color w:val="000000" w:themeColor="text1"/>
          <w:sz w:val="28"/>
          <w:szCs w:val="28"/>
        </w:rPr>
        <w:t>）</w:t>
      </w:r>
    </w:p>
    <w:p w14:paraId="620AA22F" w14:textId="77777777" w:rsidR="00346F78" w:rsidRDefault="00346F78">
      <w:pPr>
        <w:spacing w:line="520" w:lineRule="exact"/>
        <w:jc w:val="center"/>
        <w:rPr>
          <w:rFonts w:ascii="宋体" w:hAnsi="宋体" w:cs="宋体" w:hint="eastAsia"/>
          <w:bCs/>
          <w:color w:val="000000" w:themeColor="text1"/>
          <w:sz w:val="28"/>
          <w:szCs w:val="28"/>
        </w:rPr>
      </w:pPr>
    </w:p>
    <w:p w14:paraId="4CFCC5E2" w14:textId="77777777" w:rsidR="00346F78" w:rsidRDefault="00000000">
      <w:pPr>
        <w:numPr>
          <w:ilvl w:val="0"/>
          <w:numId w:val="1"/>
        </w:numPr>
        <w:spacing w:line="520" w:lineRule="exact"/>
        <w:jc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总 则</w:t>
      </w:r>
    </w:p>
    <w:p w14:paraId="18403CA8" w14:textId="2F19F20B" w:rsidR="00346F78" w:rsidRDefault="00000000">
      <w:pPr>
        <w:numPr>
          <w:ilvl w:val="0"/>
          <w:numId w:val="2"/>
        </w:numPr>
        <w:spacing w:line="520" w:lineRule="exact"/>
        <w:rPr>
          <w:rFonts w:ascii="宋体" w:eastAsia="宋体" w:hAnsi="宋体" w:cs="宋体" w:hint="eastAsia"/>
          <w:color w:val="000000" w:themeColor="text1"/>
          <w:kern w:val="0"/>
          <w:sz w:val="28"/>
          <w:szCs w:val="28"/>
        </w:rPr>
      </w:pPr>
      <w:r>
        <w:rPr>
          <w:rFonts w:ascii="宋体" w:eastAsia="宋体" w:hAnsi="宋体" w:cs="宋体" w:hint="eastAsia"/>
          <w:color w:val="000000" w:themeColor="text1"/>
          <w:sz w:val="28"/>
          <w:szCs w:val="28"/>
        </w:rPr>
        <w:t>为鼓励和调动化工建设行业广大工程技术人员发明创造的积极性，推动行业的技术进步，加快化工建设行业知识产权实施与转化，提升科技成果的转化能力，鼓励和表彰为技术（设计）创新及经济社会发展做出突出贡献的专利权人和发明人（设计人）</w:t>
      </w:r>
      <w:r>
        <w:rPr>
          <w:rFonts w:ascii="宋体" w:eastAsia="宋体" w:hAnsi="宋体" w:cs="宋体" w:hint="eastAsia"/>
          <w:color w:val="000000" w:themeColor="text1"/>
          <w:spacing w:val="8"/>
          <w:kern w:val="0"/>
          <w:sz w:val="28"/>
          <w:szCs w:val="28"/>
        </w:rPr>
        <w:t>，</w:t>
      </w:r>
      <w:r>
        <w:rPr>
          <w:rFonts w:ascii="宋体" w:eastAsia="宋体" w:hAnsi="宋体" w:cs="宋体" w:hint="eastAsia"/>
          <w:color w:val="000000" w:themeColor="text1"/>
          <w:kern w:val="0"/>
          <w:sz w:val="28"/>
          <w:szCs w:val="28"/>
        </w:rPr>
        <w:t>中国化工</w:t>
      </w:r>
      <w:r w:rsidR="001430AE">
        <w:rPr>
          <w:rFonts w:ascii="宋体" w:eastAsia="宋体" w:hAnsi="宋体" w:cs="宋体" w:hint="eastAsia"/>
          <w:color w:val="000000" w:themeColor="text1"/>
          <w:kern w:val="0"/>
          <w:sz w:val="28"/>
          <w:szCs w:val="28"/>
        </w:rPr>
        <w:t>建设</w:t>
      </w:r>
      <w:r>
        <w:rPr>
          <w:rFonts w:ascii="宋体" w:eastAsia="宋体" w:hAnsi="宋体" w:cs="宋体" w:hint="eastAsia"/>
          <w:color w:val="000000" w:themeColor="text1"/>
          <w:kern w:val="0"/>
          <w:sz w:val="28"/>
          <w:szCs w:val="28"/>
        </w:rPr>
        <w:t>企业协会开展优秀专利的征集、推介和推荐活动，特制定本办法。</w:t>
      </w:r>
    </w:p>
    <w:p w14:paraId="7363AC6E" w14:textId="77777777" w:rsidR="00346F78" w:rsidRDefault="00000000">
      <w:pPr>
        <w:numPr>
          <w:ilvl w:val="0"/>
          <w:numId w:val="2"/>
        </w:num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本办法适用于化工建设行业优秀</w:t>
      </w:r>
      <w:r>
        <w:rPr>
          <w:rFonts w:ascii="宋体" w:eastAsia="宋体" w:hAnsi="宋体" w:cs="宋体" w:hint="eastAsia"/>
          <w:color w:val="000000" w:themeColor="text1"/>
          <w:kern w:val="0"/>
          <w:sz w:val="28"/>
          <w:szCs w:val="28"/>
        </w:rPr>
        <w:t>专利</w:t>
      </w:r>
      <w:r>
        <w:rPr>
          <w:rFonts w:ascii="宋体" w:eastAsia="宋体" w:hAnsi="宋体" w:cs="宋体" w:hint="eastAsia"/>
          <w:color w:val="000000" w:themeColor="text1"/>
          <w:sz w:val="28"/>
          <w:szCs w:val="28"/>
        </w:rPr>
        <w:t>的申报、评价、推荐及管理。</w:t>
      </w:r>
    </w:p>
    <w:p w14:paraId="51DAE907" w14:textId="77777777" w:rsidR="00346F78" w:rsidRDefault="00000000">
      <w:pPr>
        <w:numPr>
          <w:ilvl w:val="0"/>
          <w:numId w:val="2"/>
        </w:numPr>
        <w:spacing w:line="520" w:lineRule="exact"/>
        <w:rPr>
          <w:rFonts w:ascii="宋体" w:eastAsia="宋体" w:hAnsi="宋体" w:cs="宋体" w:hint="eastAsia"/>
          <w:color w:val="000000" w:themeColor="text1"/>
          <w:kern w:val="0"/>
          <w:sz w:val="28"/>
          <w:szCs w:val="28"/>
        </w:rPr>
      </w:pPr>
      <w:r>
        <w:rPr>
          <w:rFonts w:ascii="宋体" w:eastAsia="宋体" w:hAnsi="宋体" w:cs="宋体" w:hint="eastAsia"/>
          <w:color w:val="000000" w:themeColor="text1"/>
          <w:kern w:val="0"/>
          <w:sz w:val="28"/>
          <w:szCs w:val="28"/>
        </w:rPr>
        <w:t>优秀专利征集每年开展一次。</w:t>
      </w:r>
    </w:p>
    <w:p w14:paraId="562A8F21" w14:textId="77777777" w:rsidR="00346F78" w:rsidRDefault="00000000">
      <w:pPr>
        <w:pStyle w:val="a5"/>
        <w:spacing w:before="0" w:beforeAutospacing="0" w:after="0" w:afterAutospacing="0" w:line="520" w:lineRule="exact"/>
        <w:jc w:val="both"/>
        <w:rPr>
          <w:rFonts w:hint="eastAsia"/>
          <w:color w:val="000000" w:themeColor="text1"/>
          <w:sz w:val="28"/>
          <w:szCs w:val="28"/>
        </w:rPr>
      </w:pPr>
      <w:r>
        <w:rPr>
          <w:rFonts w:hint="eastAsia"/>
          <w:color w:val="000000" w:themeColor="text1"/>
          <w:sz w:val="28"/>
          <w:szCs w:val="28"/>
        </w:rPr>
        <w:t>第四条 中国化工建设企业协会专家委员会负责组织开展优秀专利的评价及推荐工作，协会秘书处负责日常组织协调工作。</w:t>
      </w:r>
    </w:p>
    <w:p w14:paraId="39C1B9CF" w14:textId="77777777" w:rsidR="00346F78" w:rsidRDefault="00346F78">
      <w:pPr>
        <w:spacing w:line="520" w:lineRule="exact"/>
        <w:jc w:val="center"/>
        <w:rPr>
          <w:rFonts w:ascii="宋体" w:eastAsia="宋体" w:hAnsi="宋体" w:cs="宋体" w:hint="eastAsia"/>
          <w:b/>
          <w:bCs/>
          <w:color w:val="000000" w:themeColor="text1"/>
          <w:kern w:val="0"/>
          <w:sz w:val="28"/>
          <w:szCs w:val="28"/>
        </w:rPr>
      </w:pPr>
    </w:p>
    <w:p w14:paraId="5802055A" w14:textId="77777777" w:rsidR="00346F78" w:rsidRDefault="00000000">
      <w:pPr>
        <w:spacing w:line="520" w:lineRule="exact"/>
        <w:jc w:val="center"/>
        <w:rPr>
          <w:rFonts w:ascii="宋体" w:eastAsia="宋体" w:hAnsi="宋体" w:cs="宋体" w:hint="eastAsia"/>
          <w:b/>
          <w:bCs/>
          <w:color w:val="000000" w:themeColor="text1"/>
          <w:kern w:val="0"/>
          <w:sz w:val="28"/>
          <w:szCs w:val="28"/>
        </w:rPr>
      </w:pPr>
      <w:r>
        <w:rPr>
          <w:rFonts w:ascii="宋体" w:eastAsia="宋体" w:hAnsi="宋体" w:cs="宋体" w:hint="eastAsia"/>
          <w:b/>
          <w:bCs/>
          <w:color w:val="000000" w:themeColor="text1"/>
          <w:kern w:val="0"/>
          <w:sz w:val="28"/>
          <w:szCs w:val="28"/>
        </w:rPr>
        <w:t>第二章 申报条件</w:t>
      </w:r>
    </w:p>
    <w:p w14:paraId="60942EA7"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第五条 征集的专利应当符合以下条件：</w:t>
      </w:r>
    </w:p>
    <w:p w14:paraId="2FCE9828" w14:textId="77777777" w:rsidR="00346F78" w:rsidRDefault="00000000">
      <w:pPr>
        <w:pStyle w:val="a5"/>
        <w:numPr>
          <w:ilvl w:val="0"/>
          <w:numId w:val="3"/>
        </w:numPr>
        <w:spacing w:before="0" w:beforeAutospacing="0" w:after="0" w:afterAutospacing="0" w:line="520" w:lineRule="exact"/>
        <w:ind w:firstLineChars="200" w:firstLine="560"/>
        <w:jc w:val="both"/>
        <w:rPr>
          <w:rFonts w:hint="eastAsia"/>
          <w:color w:val="000000" w:themeColor="text1"/>
          <w:sz w:val="28"/>
          <w:szCs w:val="28"/>
        </w:rPr>
      </w:pPr>
      <w:r>
        <w:rPr>
          <w:rFonts w:hint="eastAsia"/>
          <w:color w:val="000000" w:themeColor="text1"/>
          <w:sz w:val="28"/>
          <w:szCs w:val="28"/>
        </w:rPr>
        <w:t>在上年度12月31日前（含12月31日，以授权公告日为准）被国家知识产权局授予发明、实用新型专利权（含已解密国防专利，不含保密专利）；</w:t>
      </w:r>
    </w:p>
    <w:p w14:paraId="23B0080E" w14:textId="77777777" w:rsidR="00346F78" w:rsidRDefault="00000000">
      <w:pPr>
        <w:pStyle w:val="a5"/>
        <w:numPr>
          <w:ilvl w:val="0"/>
          <w:numId w:val="3"/>
        </w:numPr>
        <w:spacing w:before="0" w:beforeAutospacing="0" w:after="0" w:afterAutospacing="0" w:line="520" w:lineRule="exact"/>
        <w:ind w:firstLineChars="200" w:firstLine="560"/>
        <w:jc w:val="both"/>
        <w:rPr>
          <w:rFonts w:hint="eastAsia"/>
          <w:color w:val="000000" w:themeColor="text1"/>
          <w:sz w:val="28"/>
          <w:szCs w:val="28"/>
        </w:rPr>
      </w:pPr>
      <w:r>
        <w:rPr>
          <w:rFonts w:hint="eastAsia"/>
          <w:color w:val="000000" w:themeColor="text1"/>
          <w:sz w:val="28"/>
          <w:szCs w:val="28"/>
        </w:rPr>
        <w:t>该专利权属于申报单位；</w:t>
      </w:r>
    </w:p>
    <w:p w14:paraId="3331CC8A" w14:textId="77777777" w:rsidR="00346F78" w:rsidRDefault="00000000">
      <w:pPr>
        <w:pStyle w:val="a5"/>
        <w:numPr>
          <w:ilvl w:val="0"/>
          <w:numId w:val="3"/>
        </w:numPr>
        <w:spacing w:before="0" w:beforeAutospacing="0" w:after="0" w:afterAutospacing="0" w:line="520" w:lineRule="exact"/>
        <w:ind w:firstLineChars="200" w:firstLine="560"/>
        <w:jc w:val="both"/>
        <w:rPr>
          <w:rFonts w:hint="eastAsia"/>
          <w:color w:val="000000" w:themeColor="text1"/>
          <w:sz w:val="28"/>
          <w:szCs w:val="28"/>
        </w:rPr>
      </w:pPr>
      <w:r>
        <w:rPr>
          <w:rFonts w:hint="eastAsia"/>
          <w:color w:val="000000" w:themeColor="text1"/>
          <w:sz w:val="28"/>
          <w:szCs w:val="28"/>
        </w:rPr>
        <w:t>专利权有效，在申报截止日前无法律纠纷；</w:t>
      </w:r>
    </w:p>
    <w:p w14:paraId="1880A09A" w14:textId="77777777" w:rsidR="00346F78" w:rsidRDefault="00000000">
      <w:pPr>
        <w:pStyle w:val="a5"/>
        <w:numPr>
          <w:ilvl w:val="0"/>
          <w:numId w:val="3"/>
        </w:numPr>
        <w:spacing w:before="0" w:beforeAutospacing="0" w:after="0" w:afterAutospacing="0" w:line="520" w:lineRule="exact"/>
        <w:ind w:firstLineChars="200" w:firstLine="560"/>
        <w:jc w:val="both"/>
        <w:rPr>
          <w:rFonts w:hint="eastAsia"/>
          <w:color w:val="000000" w:themeColor="text1"/>
          <w:sz w:val="28"/>
          <w:szCs w:val="28"/>
        </w:rPr>
      </w:pPr>
      <w:r>
        <w:rPr>
          <w:rFonts w:hint="eastAsia"/>
          <w:color w:val="000000" w:themeColor="text1"/>
          <w:sz w:val="28"/>
          <w:szCs w:val="28"/>
        </w:rPr>
        <w:t>全体专利权人均同意参加征集活动；</w:t>
      </w:r>
    </w:p>
    <w:p w14:paraId="199DFEF4" w14:textId="77777777" w:rsidR="00346F78" w:rsidRDefault="00000000">
      <w:pPr>
        <w:pStyle w:val="a5"/>
        <w:numPr>
          <w:ilvl w:val="0"/>
          <w:numId w:val="3"/>
        </w:numPr>
        <w:spacing w:before="0" w:beforeAutospacing="0" w:after="0" w:afterAutospacing="0" w:line="520" w:lineRule="exact"/>
        <w:ind w:firstLineChars="200" w:firstLine="560"/>
        <w:jc w:val="both"/>
        <w:rPr>
          <w:rFonts w:hint="eastAsia"/>
          <w:color w:val="000000" w:themeColor="text1"/>
          <w:sz w:val="28"/>
          <w:szCs w:val="28"/>
        </w:rPr>
      </w:pPr>
      <w:r>
        <w:rPr>
          <w:rFonts w:hint="eastAsia"/>
          <w:color w:val="000000" w:themeColor="text1"/>
          <w:sz w:val="28"/>
          <w:szCs w:val="28"/>
        </w:rPr>
        <w:t>未获得过中国专利奖；</w:t>
      </w:r>
    </w:p>
    <w:p w14:paraId="5D4A834C" w14:textId="77777777" w:rsidR="00346F78" w:rsidRDefault="00000000">
      <w:pPr>
        <w:pStyle w:val="a5"/>
        <w:numPr>
          <w:ilvl w:val="0"/>
          <w:numId w:val="3"/>
        </w:numPr>
        <w:spacing w:before="0" w:beforeAutospacing="0" w:after="0" w:afterAutospacing="0" w:line="520" w:lineRule="exact"/>
        <w:ind w:firstLineChars="200" w:firstLine="560"/>
        <w:jc w:val="both"/>
        <w:rPr>
          <w:rFonts w:hint="eastAsia"/>
          <w:color w:val="000000" w:themeColor="text1"/>
          <w:sz w:val="28"/>
          <w:szCs w:val="28"/>
        </w:rPr>
      </w:pPr>
      <w:r>
        <w:rPr>
          <w:rFonts w:hint="eastAsia"/>
          <w:color w:val="000000" w:themeColor="text1"/>
          <w:sz w:val="28"/>
          <w:szCs w:val="28"/>
        </w:rPr>
        <w:lastRenderedPageBreak/>
        <w:t>一项专利作为一个项目参加征集活动；</w:t>
      </w:r>
    </w:p>
    <w:p w14:paraId="0E9BDE58" w14:textId="77777777" w:rsidR="00346F78" w:rsidRDefault="00000000">
      <w:pPr>
        <w:pStyle w:val="a5"/>
        <w:numPr>
          <w:ilvl w:val="0"/>
          <w:numId w:val="3"/>
        </w:numPr>
        <w:spacing w:before="0" w:beforeAutospacing="0" w:after="0" w:afterAutospacing="0" w:line="520" w:lineRule="exact"/>
        <w:ind w:firstLineChars="200" w:firstLine="560"/>
        <w:jc w:val="both"/>
        <w:rPr>
          <w:rFonts w:hint="eastAsia"/>
          <w:color w:val="000000" w:themeColor="text1"/>
          <w:sz w:val="28"/>
          <w:szCs w:val="28"/>
        </w:rPr>
      </w:pPr>
      <w:r>
        <w:rPr>
          <w:rFonts w:hint="eastAsia"/>
          <w:color w:val="000000" w:themeColor="text1"/>
          <w:sz w:val="28"/>
          <w:szCs w:val="28"/>
        </w:rPr>
        <w:t>相同专利权人在一个年度内参加征集活动的项目不超过2项。</w:t>
      </w:r>
    </w:p>
    <w:p w14:paraId="0CAD8062" w14:textId="77777777" w:rsidR="00346F78" w:rsidRDefault="00000000">
      <w:pPr>
        <w:pStyle w:val="a5"/>
        <w:spacing w:before="0" w:beforeAutospacing="0" w:after="0" w:afterAutospacing="0" w:line="520" w:lineRule="exact"/>
        <w:jc w:val="both"/>
        <w:rPr>
          <w:rFonts w:hint="eastAsia"/>
          <w:color w:val="000000" w:themeColor="text1"/>
          <w:sz w:val="28"/>
          <w:szCs w:val="28"/>
        </w:rPr>
      </w:pPr>
      <w:r>
        <w:rPr>
          <w:rFonts w:hint="eastAsia"/>
          <w:color w:val="000000" w:themeColor="text1"/>
          <w:sz w:val="28"/>
          <w:szCs w:val="28"/>
        </w:rPr>
        <w:t>第六条 该专利已由申报单位实施或者许可他人实施，在技术创新和实际运用环节创造出显著经济效益和社会效益，具有广泛的推广应用价值，推动行业技术进步作用明显。</w:t>
      </w:r>
    </w:p>
    <w:p w14:paraId="7722DBBB"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第七条 本协会的会员单位，均可参加专利征集活动。</w:t>
      </w:r>
    </w:p>
    <w:p w14:paraId="0F54949D" w14:textId="77777777" w:rsidR="00346F78" w:rsidRDefault="00346F78">
      <w:pPr>
        <w:pStyle w:val="a5"/>
        <w:spacing w:before="0" w:beforeAutospacing="0" w:after="0" w:afterAutospacing="0" w:line="520" w:lineRule="exact"/>
        <w:jc w:val="center"/>
        <w:rPr>
          <w:rFonts w:hint="eastAsia"/>
          <w:b/>
          <w:bCs/>
          <w:color w:val="000000" w:themeColor="text1"/>
          <w:sz w:val="28"/>
          <w:szCs w:val="28"/>
        </w:rPr>
      </w:pPr>
    </w:p>
    <w:p w14:paraId="3AD6124B" w14:textId="77777777" w:rsidR="00346F78" w:rsidRDefault="00000000">
      <w:pPr>
        <w:pStyle w:val="a5"/>
        <w:spacing w:before="0" w:beforeAutospacing="0" w:after="0" w:afterAutospacing="0" w:line="520" w:lineRule="exact"/>
        <w:jc w:val="center"/>
        <w:rPr>
          <w:rFonts w:hint="eastAsia"/>
          <w:b/>
          <w:bCs/>
          <w:color w:val="000000" w:themeColor="text1"/>
          <w:sz w:val="28"/>
          <w:szCs w:val="28"/>
        </w:rPr>
      </w:pPr>
      <w:r>
        <w:rPr>
          <w:rFonts w:hint="eastAsia"/>
          <w:b/>
          <w:bCs/>
          <w:color w:val="000000" w:themeColor="text1"/>
          <w:sz w:val="28"/>
          <w:szCs w:val="28"/>
        </w:rPr>
        <w:t>第三章 评价标准</w:t>
      </w:r>
    </w:p>
    <w:p w14:paraId="4188971F" w14:textId="77777777" w:rsidR="00346F78" w:rsidRDefault="00000000">
      <w:pPr>
        <w:spacing w:line="520" w:lineRule="exact"/>
        <w:rPr>
          <w:rFonts w:ascii="宋体" w:eastAsia="宋体" w:hAnsi="宋体" w:cs="宋体" w:hint="eastAsia"/>
          <w:color w:val="000000" w:themeColor="text1"/>
          <w:kern w:val="0"/>
          <w:sz w:val="28"/>
          <w:szCs w:val="28"/>
        </w:rPr>
      </w:pPr>
      <w:r>
        <w:rPr>
          <w:rFonts w:ascii="宋体" w:eastAsia="宋体" w:hAnsi="宋体" w:cs="宋体" w:hint="eastAsia"/>
          <w:color w:val="000000" w:themeColor="text1"/>
          <w:kern w:val="0"/>
          <w:sz w:val="28"/>
          <w:szCs w:val="28"/>
        </w:rPr>
        <w:t>第八条 优秀专利按照</w:t>
      </w:r>
      <w:r>
        <w:rPr>
          <w:rFonts w:ascii="宋体" w:eastAsia="宋体" w:hAnsi="宋体" w:cs="宋体" w:hint="eastAsia"/>
          <w:color w:val="000000" w:themeColor="text1"/>
          <w:spacing w:val="8"/>
          <w:kern w:val="0"/>
          <w:sz w:val="28"/>
          <w:szCs w:val="28"/>
        </w:rPr>
        <w:t>专利质量、技术先进性、运用及保护措施和成效、社会效益及发展前景</w:t>
      </w:r>
      <w:r>
        <w:rPr>
          <w:rFonts w:ascii="宋体" w:eastAsia="宋体" w:hAnsi="宋体" w:cs="宋体" w:hint="eastAsia"/>
          <w:color w:val="000000" w:themeColor="text1"/>
          <w:kern w:val="0"/>
          <w:sz w:val="28"/>
          <w:szCs w:val="28"/>
        </w:rPr>
        <w:t>等方面进行综合评价。</w:t>
      </w:r>
    </w:p>
    <w:p w14:paraId="301A4BDE" w14:textId="77777777" w:rsidR="00346F78" w:rsidRDefault="00000000">
      <w:pPr>
        <w:pStyle w:val="a5"/>
        <w:spacing w:before="0" w:beforeAutospacing="0" w:after="0" w:afterAutospacing="0" w:line="520" w:lineRule="exact"/>
        <w:jc w:val="both"/>
        <w:rPr>
          <w:rFonts w:hint="eastAsia"/>
          <w:color w:val="000000" w:themeColor="text1"/>
          <w:spacing w:val="8"/>
          <w:sz w:val="28"/>
          <w:szCs w:val="28"/>
        </w:rPr>
      </w:pPr>
      <w:r>
        <w:rPr>
          <w:rFonts w:hint="eastAsia"/>
          <w:color w:val="000000" w:themeColor="text1"/>
          <w:spacing w:val="8"/>
          <w:sz w:val="28"/>
          <w:szCs w:val="28"/>
        </w:rPr>
        <w:t>第九条 专利评价指标及权重：</w:t>
      </w:r>
    </w:p>
    <w:p w14:paraId="7BDD41B0" w14:textId="77777777" w:rsidR="00346F78" w:rsidRDefault="00000000">
      <w:pPr>
        <w:pStyle w:val="a5"/>
        <w:numPr>
          <w:ilvl w:val="0"/>
          <w:numId w:val="4"/>
        </w:numPr>
        <w:spacing w:before="0" w:beforeAutospacing="0" w:after="0" w:afterAutospacing="0" w:line="520" w:lineRule="exact"/>
        <w:ind w:firstLineChars="200" w:firstLine="592"/>
        <w:jc w:val="both"/>
        <w:rPr>
          <w:rFonts w:hint="eastAsia"/>
          <w:color w:val="000000" w:themeColor="text1"/>
          <w:spacing w:val="8"/>
          <w:sz w:val="28"/>
          <w:szCs w:val="28"/>
        </w:rPr>
      </w:pPr>
      <w:r>
        <w:rPr>
          <w:rFonts w:hint="eastAsia"/>
          <w:color w:val="000000" w:themeColor="text1"/>
          <w:spacing w:val="8"/>
          <w:sz w:val="28"/>
          <w:szCs w:val="28"/>
        </w:rPr>
        <w:t>专利质量（25%）。评价：1.新颖性、创造性、实用性；2.文本质量；</w:t>
      </w:r>
    </w:p>
    <w:p w14:paraId="722DE60F" w14:textId="77777777" w:rsidR="00346F78" w:rsidRDefault="00000000">
      <w:pPr>
        <w:pStyle w:val="a5"/>
        <w:numPr>
          <w:ilvl w:val="0"/>
          <w:numId w:val="4"/>
        </w:numPr>
        <w:spacing w:before="0" w:beforeAutospacing="0" w:after="0" w:afterAutospacing="0" w:line="520" w:lineRule="exact"/>
        <w:ind w:firstLineChars="200" w:firstLine="592"/>
        <w:jc w:val="both"/>
        <w:rPr>
          <w:rFonts w:hint="eastAsia"/>
          <w:color w:val="000000" w:themeColor="text1"/>
          <w:spacing w:val="8"/>
          <w:sz w:val="28"/>
          <w:szCs w:val="28"/>
        </w:rPr>
      </w:pPr>
      <w:r>
        <w:rPr>
          <w:rFonts w:hint="eastAsia"/>
          <w:color w:val="000000" w:themeColor="text1"/>
          <w:spacing w:val="8"/>
          <w:sz w:val="28"/>
          <w:szCs w:val="28"/>
        </w:rPr>
        <w:t>技术先进性（25%）。评价：1.原创性及重要性；2.相比当前同类技术的优缺点；3.专利技术的通用性；</w:t>
      </w:r>
    </w:p>
    <w:p w14:paraId="65DFC7A8" w14:textId="77777777" w:rsidR="00346F78" w:rsidRDefault="00000000">
      <w:pPr>
        <w:pStyle w:val="a5"/>
        <w:numPr>
          <w:ilvl w:val="0"/>
          <w:numId w:val="4"/>
        </w:numPr>
        <w:spacing w:before="0" w:beforeAutospacing="0" w:after="0" w:afterAutospacing="0" w:line="520" w:lineRule="exact"/>
        <w:ind w:firstLineChars="200" w:firstLine="592"/>
        <w:jc w:val="both"/>
        <w:rPr>
          <w:rFonts w:hint="eastAsia"/>
          <w:color w:val="000000" w:themeColor="text1"/>
          <w:spacing w:val="8"/>
          <w:sz w:val="28"/>
          <w:szCs w:val="28"/>
        </w:rPr>
      </w:pPr>
      <w:r>
        <w:rPr>
          <w:rFonts w:hint="eastAsia"/>
          <w:color w:val="000000" w:themeColor="text1"/>
          <w:spacing w:val="8"/>
          <w:sz w:val="28"/>
          <w:szCs w:val="28"/>
        </w:rPr>
        <w:t>运用及保护措施和成效（35%）。评价：1.专利运用及保护措施；2.经济效益及市场份额；</w:t>
      </w:r>
    </w:p>
    <w:p w14:paraId="54FB5BC3" w14:textId="77777777" w:rsidR="00346F78" w:rsidRDefault="00000000">
      <w:pPr>
        <w:pStyle w:val="a5"/>
        <w:numPr>
          <w:ilvl w:val="0"/>
          <w:numId w:val="4"/>
        </w:numPr>
        <w:spacing w:before="0" w:beforeAutospacing="0" w:after="0" w:afterAutospacing="0" w:line="520" w:lineRule="exact"/>
        <w:ind w:firstLineChars="200" w:firstLine="592"/>
        <w:jc w:val="both"/>
        <w:rPr>
          <w:rFonts w:hint="eastAsia"/>
          <w:color w:val="000000" w:themeColor="text1"/>
          <w:spacing w:val="8"/>
          <w:sz w:val="28"/>
          <w:szCs w:val="28"/>
        </w:rPr>
      </w:pPr>
      <w:r>
        <w:rPr>
          <w:rFonts w:hint="eastAsia"/>
          <w:color w:val="000000" w:themeColor="text1"/>
          <w:spacing w:val="8"/>
          <w:sz w:val="28"/>
          <w:szCs w:val="28"/>
        </w:rPr>
        <w:t>社会效益及发展前景（15%）。评价：1.社会效益；2.行业影响力；3.政策适应性。</w:t>
      </w:r>
    </w:p>
    <w:p w14:paraId="49FC189D" w14:textId="77777777" w:rsidR="00346F78" w:rsidRDefault="00000000">
      <w:pPr>
        <w:pStyle w:val="a5"/>
        <w:spacing w:before="0" w:beforeAutospacing="0" w:after="0" w:afterAutospacing="0" w:line="520" w:lineRule="exact"/>
        <w:jc w:val="both"/>
        <w:rPr>
          <w:rFonts w:hint="eastAsia"/>
          <w:color w:val="000000" w:themeColor="text1"/>
          <w:sz w:val="28"/>
          <w:szCs w:val="28"/>
        </w:rPr>
      </w:pPr>
      <w:r>
        <w:rPr>
          <w:rFonts w:hint="eastAsia"/>
          <w:color w:val="000000" w:themeColor="text1"/>
          <w:sz w:val="28"/>
          <w:szCs w:val="28"/>
        </w:rPr>
        <w:t>第十条 优秀专利的评价标准：</w:t>
      </w:r>
    </w:p>
    <w:p w14:paraId="67491187" w14:textId="77777777" w:rsidR="00346F78" w:rsidRDefault="00000000">
      <w:pPr>
        <w:pStyle w:val="a5"/>
        <w:spacing w:before="0" w:beforeAutospacing="0" w:after="0" w:afterAutospacing="0" w:line="520" w:lineRule="exact"/>
        <w:ind w:firstLine="480"/>
        <w:jc w:val="both"/>
        <w:rPr>
          <w:rFonts w:hint="eastAsia"/>
          <w:color w:val="000000" w:themeColor="text1"/>
          <w:sz w:val="28"/>
          <w:szCs w:val="28"/>
        </w:rPr>
      </w:pPr>
      <w:r>
        <w:rPr>
          <w:rFonts w:hint="eastAsia"/>
          <w:color w:val="000000" w:themeColor="text1"/>
          <w:sz w:val="28"/>
          <w:szCs w:val="28"/>
        </w:rPr>
        <w:t>（一）发明专利具有技术方案新颖、创新性强、技术水平高等特点，对促进本领域的技术进步与创新有突出作用；</w:t>
      </w:r>
    </w:p>
    <w:p w14:paraId="793267B8" w14:textId="77777777" w:rsidR="00346F78" w:rsidRDefault="00000000">
      <w:pPr>
        <w:pStyle w:val="a5"/>
        <w:spacing w:before="0" w:beforeAutospacing="0" w:after="0" w:afterAutospacing="0" w:line="520" w:lineRule="exact"/>
        <w:ind w:firstLine="480"/>
        <w:jc w:val="both"/>
        <w:rPr>
          <w:rFonts w:hint="eastAsia"/>
          <w:color w:val="000000" w:themeColor="text1"/>
          <w:sz w:val="28"/>
          <w:szCs w:val="28"/>
        </w:rPr>
      </w:pPr>
      <w:r>
        <w:rPr>
          <w:rFonts w:hint="eastAsia"/>
          <w:color w:val="000000" w:themeColor="text1"/>
          <w:sz w:val="28"/>
          <w:szCs w:val="28"/>
        </w:rPr>
        <w:t>（二）该专利对于提升相关产品及申报单位的市场竞争力发挥了重要作用，取得了突出的经济效益和社会效益；</w:t>
      </w:r>
    </w:p>
    <w:p w14:paraId="1DC1EB77" w14:textId="77777777" w:rsidR="00346F78" w:rsidRDefault="00000000">
      <w:pPr>
        <w:pStyle w:val="a5"/>
        <w:spacing w:before="0" w:beforeAutospacing="0" w:after="0" w:afterAutospacing="0" w:line="520" w:lineRule="exact"/>
        <w:ind w:firstLine="480"/>
        <w:jc w:val="both"/>
        <w:rPr>
          <w:rFonts w:hint="eastAsia"/>
          <w:color w:val="000000" w:themeColor="text1"/>
          <w:sz w:val="28"/>
          <w:szCs w:val="28"/>
        </w:rPr>
      </w:pPr>
      <w:r>
        <w:rPr>
          <w:rFonts w:hint="eastAsia"/>
          <w:color w:val="000000" w:themeColor="text1"/>
          <w:sz w:val="28"/>
          <w:szCs w:val="28"/>
        </w:rPr>
        <w:lastRenderedPageBreak/>
        <w:t>（三）申报单位对于该专利的运用和保护采取了积极措施，取得了显著成效。</w:t>
      </w:r>
    </w:p>
    <w:p w14:paraId="3373042E" w14:textId="77777777" w:rsidR="00346F78" w:rsidRDefault="00000000">
      <w:pPr>
        <w:pStyle w:val="a5"/>
        <w:spacing w:before="0" w:beforeAutospacing="0" w:after="0" w:afterAutospacing="0" w:line="520" w:lineRule="exact"/>
        <w:jc w:val="both"/>
        <w:rPr>
          <w:rFonts w:hint="eastAsia"/>
          <w:color w:val="000000" w:themeColor="text1"/>
          <w:spacing w:val="8"/>
          <w:sz w:val="28"/>
          <w:szCs w:val="28"/>
        </w:rPr>
      </w:pPr>
      <w:r>
        <w:rPr>
          <w:rFonts w:hint="eastAsia"/>
          <w:color w:val="000000" w:themeColor="text1"/>
          <w:sz w:val="28"/>
          <w:szCs w:val="28"/>
        </w:rPr>
        <w:t>第十一条 优秀专利实行总量控制原则：每年遴选20项优秀专利在协会年度科技创新大会进行推介。</w:t>
      </w:r>
    </w:p>
    <w:p w14:paraId="5E742B48" w14:textId="77777777" w:rsidR="00346F78" w:rsidRDefault="00346F78">
      <w:pPr>
        <w:pStyle w:val="a5"/>
        <w:spacing w:before="0" w:beforeAutospacing="0" w:after="0" w:afterAutospacing="0" w:line="520" w:lineRule="exact"/>
        <w:jc w:val="center"/>
        <w:rPr>
          <w:rFonts w:hint="eastAsia"/>
          <w:b/>
          <w:bCs/>
          <w:color w:val="000000" w:themeColor="text1"/>
          <w:spacing w:val="8"/>
          <w:sz w:val="28"/>
          <w:szCs w:val="28"/>
        </w:rPr>
      </w:pPr>
    </w:p>
    <w:p w14:paraId="29AD4971" w14:textId="77777777" w:rsidR="00346F78" w:rsidRDefault="00000000">
      <w:pPr>
        <w:pStyle w:val="a5"/>
        <w:spacing w:before="0" w:beforeAutospacing="0" w:after="0" w:afterAutospacing="0" w:line="520" w:lineRule="exact"/>
        <w:jc w:val="center"/>
        <w:rPr>
          <w:rFonts w:hint="eastAsia"/>
          <w:b/>
          <w:bCs/>
          <w:color w:val="000000" w:themeColor="text1"/>
          <w:sz w:val="28"/>
          <w:szCs w:val="28"/>
        </w:rPr>
      </w:pPr>
      <w:r>
        <w:rPr>
          <w:rFonts w:hint="eastAsia"/>
          <w:b/>
          <w:bCs/>
          <w:color w:val="000000" w:themeColor="text1"/>
          <w:spacing w:val="8"/>
          <w:sz w:val="28"/>
          <w:szCs w:val="28"/>
        </w:rPr>
        <w:t xml:space="preserve">第四章 </w:t>
      </w:r>
      <w:r>
        <w:rPr>
          <w:rFonts w:hint="eastAsia"/>
          <w:b/>
          <w:bCs/>
          <w:color w:val="000000" w:themeColor="text1"/>
          <w:sz w:val="28"/>
          <w:szCs w:val="28"/>
        </w:rPr>
        <w:t>申报程序</w:t>
      </w:r>
    </w:p>
    <w:p w14:paraId="77E7372F" w14:textId="77777777" w:rsidR="00346F78" w:rsidRDefault="00000000">
      <w:pPr>
        <w:pStyle w:val="a5"/>
        <w:spacing w:before="0" w:beforeAutospacing="0" w:after="0" w:afterAutospacing="0" w:line="520" w:lineRule="exact"/>
        <w:jc w:val="both"/>
        <w:rPr>
          <w:rFonts w:hint="eastAsia"/>
          <w:color w:val="000000" w:themeColor="text1"/>
          <w:sz w:val="28"/>
          <w:szCs w:val="28"/>
        </w:rPr>
      </w:pPr>
      <w:r>
        <w:rPr>
          <w:rFonts w:hint="eastAsia"/>
          <w:color w:val="000000" w:themeColor="text1"/>
          <w:sz w:val="28"/>
          <w:szCs w:val="28"/>
        </w:rPr>
        <w:t>第十二条 优秀专利征集坚持“协会组织，自愿申报，专家评价，择优推荐”的原则。</w:t>
      </w:r>
    </w:p>
    <w:p w14:paraId="7C3CFCAF"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第十三条 材料报送</w:t>
      </w:r>
    </w:p>
    <w:p w14:paraId="4AB6B418" w14:textId="77777777" w:rsidR="00346F78" w:rsidRDefault="00000000">
      <w:pPr>
        <w:numPr>
          <w:ilvl w:val="0"/>
          <w:numId w:val="5"/>
        </w:numPr>
        <w:spacing w:line="52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专利申报应填写统一格式的《中国化工建设企业协会优秀专利征集活动申报表》（WORD文档）；</w:t>
      </w:r>
    </w:p>
    <w:p w14:paraId="5E27D38F" w14:textId="77777777" w:rsidR="00346F78" w:rsidRDefault="00000000">
      <w:pPr>
        <w:numPr>
          <w:ilvl w:val="0"/>
          <w:numId w:val="5"/>
        </w:numPr>
        <w:spacing w:line="52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项目申报资料1份（电子件），每个征集项目包含：①中国专利奖申报书（WORD文档）【说明：推荐参评中国专利奖的项目需填报此申报书】；②附件，如图片、照片、获奖证书、项目应用证明等材料扫描件，所有附件应嵌入一个PDF文档，大小不超过20M；③专利授权文本（PDF文档）；</w:t>
      </w:r>
    </w:p>
    <w:p w14:paraId="38EC02CB" w14:textId="77777777" w:rsidR="00346F78" w:rsidRDefault="00000000">
      <w:pPr>
        <w:numPr>
          <w:ilvl w:val="0"/>
          <w:numId w:val="5"/>
        </w:numPr>
        <w:spacing w:line="52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所有项目的电子件存储在一个U盘中，并用标签标注申报单位名称（</w:t>
      </w:r>
      <w:r>
        <w:rPr>
          <w:rFonts w:ascii="宋体" w:eastAsia="宋体" w:hAnsi="宋体" w:cs="宋体" w:hint="eastAsia"/>
          <w:color w:val="000000" w:themeColor="text1"/>
          <w:sz w:val="28"/>
          <w:szCs w:val="28"/>
          <w:shd w:val="clear" w:color="auto" w:fill="FFFFFF"/>
        </w:rPr>
        <w:t>每个项目单独制成一个独立的文件夹并以专利号命名）；</w:t>
      </w:r>
    </w:p>
    <w:p w14:paraId="51340A86" w14:textId="77777777" w:rsidR="00346F78" w:rsidRDefault="00000000">
      <w:pPr>
        <w:numPr>
          <w:ilvl w:val="0"/>
          <w:numId w:val="5"/>
        </w:numPr>
        <w:spacing w:line="52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申报单位的身份证明材料（企业单位提供营业执照、税务登记证和</w:t>
      </w:r>
      <w:hyperlink r:id="rId8" w:tgtFrame="_blank" w:history="1">
        <w:r>
          <w:rPr>
            <w:rStyle w:val="a6"/>
            <w:rFonts w:ascii="宋体" w:eastAsia="宋体" w:hAnsi="宋体" w:cs="宋体" w:hint="eastAsia"/>
            <w:color w:val="000000" w:themeColor="text1"/>
            <w:sz w:val="28"/>
            <w:szCs w:val="28"/>
            <w:u w:val="none"/>
          </w:rPr>
          <w:t>组织机构代码证</w:t>
        </w:r>
      </w:hyperlink>
      <w:r>
        <w:rPr>
          <w:rFonts w:ascii="宋体" w:eastAsia="宋体" w:hAnsi="宋体" w:cs="宋体" w:hint="eastAsia"/>
          <w:color w:val="000000" w:themeColor="text1"/>
          <w:sz w:val="28"/>
          <w:szCs w:val="28"/>
        </w:rPr>
        <w:t>，事业单位提供法人证书和组织机构代码证）；</w:t>
      </w:r>
    </w:p>
    <w:p w14:paraId="54849C48" w14:textId="77777777" w:rsidR="00346F78" w:rsidRDefault="00000000">
      <w:pPr>
        <w:numPr>
          <w:ilvl w:val="0"/>
          <w:numId w:val="5"/>
        </w:numPr>
        <w:spacing w:line="52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申报单位通过实施或者许可实施参加征集活动的专利取得的经济效益和社会效益的证明材料。</w:t>
      </w:r>
    </w:p>
    <w:p w14:paraId="7E6C5BAE" w14:textId="77777777" w:rsidR="00346F78" w:rsidRDefault="00346F78">
      <w:pPr>
        <w:spacing w:line="520" w:lineRule="exact"/>
        <w:jc w:val="center"/>
        <w:rPr>
          <w:rFonts w:ascii="宋体" w:eastAsia="宋体" w:hAnsi="宋体" w:cs="宋体" w:hint="eastAsia"/>
          <w:b/>
          <w:bCs/>
          <w:color w:val="000000" w:themeColor="text1"/>
          <w:sz w:val="28"/>
          <w:szCs w:val="28"/>
        </w:rPr>
      </w:pPr>
    </w:p>
    <w:p w14:paraId="1E062723" w14:textId="77777777" w:rsidR="00346F78" w:rsidRDefault="00000000">
      <w:pPr>
        <w:spacing w:line="520" w:lineRule="exact"/>
        <w:jc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第五章 评价程序</w:t>
      </w:r>
    </w:p>
    <w:p w14:paraId="6D18262E"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第十四条 形式审查。协会秘书处</w:t>
      </w:r>
      <w:r>
        <w:rPr>
          <w:rFonts w:ascii="宋体" w:eastAsia="宋体" w:hAnsi="宋体" w:cs="宋体" w:hint="eastAsia"/>
          <w:color w:val="000000" w:themeColor="text1"/>
          <w:kern w:val="0"/>
          <w:sz w:val="28"/>
          <w:szCs w:val="28"/>
        </w:rPr>
        <w:t>依据本办法对申报材料进行形式审</w:t>
      </w:r>
      <w:r>
        <w:rPr>
          <w:rFonts w:ascii="宋体" w:eastAsia="宋体" w:hAnsi="宋体" w:cs="宋体" w:hint="eastAsia"/>
          <w:color w:val="000000" w:themeColor="text1"/>
          <w:kern w:val="0"/>
          <w:sz w:val="28"/>
          <w:szCs w:val="28"/>
        </w:rPr>
        <w:lastRenderedPageBreak/>
        <w:t>查，</w:t>
      </w:r>
      <w:r>
        <w:rPr>
          <w:rFonts w:ascii="宋体" w:eastAsia="宋体" w:hAnsi="宋体" w:cs="宋体" w:hint="eastAsia"/>
          <w:color w:val="000000" w:themeColor="text1"/>
          <w:sz w:val="28"/>
          <w:szCs w:val="28"/>
        </w:rPr>
        <w:t>提出初审意见</w:t>
      </w:r>
      <w:r>
        <w:rPr>
          <w:rFonts w:ascii="宋体" w:eastAsia="宋体" w:hAnsi="宋体" w:cs="宋体" w:hint="eastAsia"/>
          <w:color w:val="000000" w:themeColor="text1"/>
          <w:kern w:val="0"/>
          <w:sz w:val="28"/>
          <w:szCs w:val="28"/>
        </w:rPr>
        <w:t>。</w:t>
      </w:r>
      <w:r>
        <w:rPr>
          <w:rFonts w:ascii="宋体" w:eastAsia="宋体" w:hAnsi="宋体" w:cs="宋体" w:hint="eastAsia"/>
          <w:color w:val="000000" w:themeColor="text1"/>
          <w:sz w:val="28"/>
          <w:szCs w:val="28"/>
        </w:rPr>
        <w:t>对不符合要求的申报材料，要求申报单位在规定时间内补正，对逾期未补正或者经补正申报材料仍不符合要求的项目，不予提交评价。</w:t>
      </w:r>
    </w:p>
    <w:p w14:paraId="527DA2F4"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第十五条 评价。由专家委员会根据形式审查的情况，遴选行业内相关专家组成评价组，同时选择一家国内专业咨询公司，分别对通过形式审查的专利项目进行评价打分，提出优秀专利候选建议名单。</w:t>
      </w:r>
    </w:p>
    <w:p w14:paraId="38E14860" w14:textId="77777777" w:rsidR="00346F78" w:rsidRDefault="00000000">
      <w:pPr>
        <w:spacing w:line="52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（一）专家评价。由专家委员会从化工工程建设行业高级专家库中遴选专家，组成若干评价小组，对通过形式审查的专利进行评价打分，提出候选建议名单。</w:t>
      </w:r>
    </w:p>
    <w:p w14:paraId="35A26DA2" w14:textId="77777777" w:rsidR="00346F78" w:rsidRDefault="00000000">
      <w:pPr>
        <w:spacing w:line="52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（二）专业咨询公司评价。聘请一家专业咨询公司对申报专利进行评价打分，提出候选建议名单。</w:t>
      </w:r>
    </w:p>
    <w:p w14:paraId="3354A2C3" w14:textId="77777777" w:rsidR="00346F78" w:rsidRDefault="00000000">
      <w:pPr>
        <w:spacing w:line="520" w:lineRule="exact"/>
        <w:ind w:firstLineChars="200" w:firstLine="560"/>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（三）协会秘书处对专家及专业咨询公司的打分进行汇总，按照专家</w:t>
      </w:r>
      <w:proofErr w:type="gramStart"/>
      <w:r>
        <w:rPr>
          <w:rFonts w:ascii="宋体" w:eastAsia="宋体" w:hAnsi="宋体" w:cs="宋体" w:hint="eastAsia"/>
          <w:color w:val="000000" w:themeColor="text1"/>
          <w:sz w:val="28"/>
          <w:szCs w:val="28"/>
        </w:rPr>
        <w:t>打分占</w:t>
      </w:r>
      <w:proofErr w:type="gramEnd"/>
      <w:r>
        <w:rPr>
          <w:rFonts w:ascii="宋体" w:eastAsia="宋体" w:hAnsi="宋体" w:cs="宋体" w:hint="eastAsia"/>
          <w:color w:val="000000" w:themeColor="text1"/>
          <w:sz w:val="28"/>
          <w:szCs w:val="28"/>
        </w:rPr>
        <w:t>70%、专业咨询公司</w:t>
      </w:r>
      <w:proofErr w:type="gramStart"/>
      <w:r>
        <w:rPr>
          <w:rFonts w:ascii="宋体" w:eastAsia="宋体" w:hAnsi="宋体" w:cs="宋体" w:hint="eastAsia"/>
          <w:color w:val="000000" w:themeColor="text1"/>
          <w:sz w:val="28"/>
          <w:szCs w:val="28"/>
        </w:rPr>
        <w:t>打分占</w:t>
      </w:r>
      <w:proofErr w:type="gramEnd"/>
      <w:r>
        <w:rPr>
          <w:rFonts w:ascii="宋体" w:eastAsia="宋体" w:hAnsi="宋体" w:cs="宋体" w:hint="eastAsia"/>
          <w:color w:val="000000" w:themeColor="text1"/>
          <w:sz w:val="28"/>
          <w:szCs w:val="28"/>
        </w:rPr>
        <w:t>30%的权重，进行打分排名，并根据打分排名结果及专家和专业咨询公司提出的候选建议名单，进行综合评议，向专家</w:t>
      </w:r>
      <w:r>
        <w:rPr>
          <w:rFonts w:ascii="宋体" w:eastAsia="宋体" w:hAnsi="宋体" w:cs="宋体" w:hint="eastAsia"/>
          <w:color w:val="000000" w:themeColor="text1"/>
          <w:kern w:val="0"/>
          <w:sz w:val="28"/>
          <w:szCs w:val="28"/>
        </w:rPr>
        <w:t>委员会</w:t>
      </w:r>
      <w:r>
        <w:rPr>
          <w:rFonts w:ascii="宋体" w:eastAsia="宋体" w:hAnsi="宋体" w:cs="宋体" w:hint="eastAsia"/>
          <w:color w:val="000000" w:themeColor="text1"/>
          <w:sz w:val="28"/>
          <w:szCs w:val="28"/>
        </w:rPr>
        <w:t>提出候选推荐报告。</w:t>
      </w:r>
    </w:p>
    <w:p w14:paraId="50F4F48C"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第十六条 审定。专家</w:t>
      </w:r>
      <w:r>
        <w:rPr>
          <w:rFonts w:ascii="宋体" w:eastAsia="宋体" w:hAnsi="宋体" w:cs="宋体" w:hint="eastAsia"/>
          <w:color w:val="000000" w:themeColor="text1"/>
          <w:kern w:val="0"/>
          <w:sz w:val="28"/>
          <w:szCs w:val="28"/>
        </w:rPr>
        <w:t>委员会</w:t>
      </w:r>
      <w:r>
        <w:rPr>
          <w:rFonts w:ascii="宋体" w:eastAsia="宋体" w:hAnsi="宋体" w:cs="宋体" w:hint="eastAsia"/>
          <w:color w:val="000000" w:themeColor="text1"/>
          <w:sz w:val="28"/>
          <w:szCs w:val="28"/>
        </w:rPr>
        <w:t>召开审定会议，对协会秘书处提交的候选推荐报告进行审议审定,最终确定优秀专利评价结果,并确定推荐中国专利奖名单。</w:t>
      </w:r>
    </w:p>
    <w:p w14:paraId="6056734D" w14:textId="77777777" w:rsidR="00346F78" w:rsidRDefault="00346F78">
      <w:pPr>
        <w:spacing w:line="520" w:lineRule="exact"/>
        <w:jc w:val="center"/>
        <w:rPr>
          <w:rFonts w:ascii="宋体" w:eastAsia="宋体" w:hAnsi="宋体" w:cs="宋体" w:hint="eastAsia"/>
          <w:b/>
          <w:bCs/>
          <w:color w:val="000000" w:themeColor="text1"/>
          <w:sz w:val="28"/>
          <w:szCs w:val="28"/>
        </w:rPr>
      </w:pPr>
    </w:p>
    <w:p w14:paraId="6F924602" w14:textId="77777777" w:rsidR="00346F78" w:rsidRDefault="00000000">
      <w:pPr>
        <w:spacing w:line="520" w:lineRule="exact"/>
        <w:jc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第六章 奖励与推广</w:t>
      </w:r>
    </w:p>
    <w:p w14:paraId="5994B04A"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第十七条 审定通过的专利，中国化工建设企业协会发文公布评价结果，在官方网站上公告，并对优秀专利获得者颁发荣誉证书和奖牌。</w:t>
      </w:r>
    </w:p>
    <w:p w14:paraId="383BE093"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第十八条 优秀专利项目在协会年度科技创新大会上进行宣传推介。</w:t>
      </w:r>
    </w:p>
    <w:p w14:paraId="6C232B23"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第十九条 优秀</w:t>
      </w:r>
      <w:r>
        <w:rPr>
          <w:rFonts w:ascii="宋体" w:eastAsia="宋体" w:hAnsi="宋体" w:cs="宋体" w:hint="eastAsia"/>
          <w:color w:val="000000" w:themeColor="text1"/>
          <w:sz w:val="28"/>
          <w:szCs w:val="28"/>
          <w:shd w:val="clear" w:color="auto" w:fill="FFFFFF"/>
        </w:rPr>
        <w:t>专利</w:t>
      </w:r>
      <w:r>
        <w:rPr>
          <w:rFonts w:ascii="宋体" w:eastAsia="宋体" w:hAnsi="宋体" w:cs="宋体" w:hint="eastAsia"/>
          <w:color w:val="000000" w:themeColor="text1"/>
          <w:sz w:val="28"/>
          <w:szCs w:val="28"/>
        </w:rPr>
        <w:t>评价实行回避制度，与被评价项目的完成人、完成单位或者申报项目有利害关系的专家应当回避。</w:t>
      </w:r>
    </w:p>
    <w:p w14:paraId="1C3ABF59"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第二十条 参与优秀专利评价及相关工作人员应当对申报项目的技术</w:t>
      </w:r>
      <w:r>
        <w:rPr>
          <w:rFonts w:ascii="宋体" w:eastAsia="宋体" w:hAnsi="宋体" w:cs="宋体" w:hint="eastAsia"/>
          <w:color w:val="000000" w:themeColor="text1"/>
          <w:sz w:val="28"/>
          <w:szCs w:val="28"/>
        </w:rPr>
        <w:lastRenderedPageBreak/>
        <w:t>内容及评价情况严格保守秘密。</w:t>
      </w:r>
    </w:p>
    <w:p w14:paraId="14CB86E3" w14:textId="0B3F1169" w:rsidR="00346F78" w:rsidRDefault="00000000">
      <w:pPr>
        <w:pStyle w:val="a5"/>
        <w:spacing w:before="0" w:beforeAutospacing="0" w:after="0" w:afterAutospacing="0" w:line="520" w:lineRule="exact"/>
        <w:jc w:val="both"/>
        <w:rPr>
          <w:rFonts w:hint="eastAsia"/>
          <w:color w:val="000000" w:themeColor="text1"/>
          <w:sz w:val="28"/>
          <w:szCs w:val="28"/>
        </w:rPr>
      </w:pPr>
      <w:r>
        <w:rPr>
          <w:rFonts w:hint="eastAsia"/>
          <w:color w:val="000000" w:themeColor="text1"/>
          <w:sz w:val="28"/>
          <w:szCs w:val="28"/>
        </w:rPr>
        <w:t>第二十一条 弄虚作假，采取不正当手段骗取优秀专利的，中国化工</w:t>
      </w:r>
      <w:r w:rsidR="00B86F77">
        <w:rPr>
          <w:rFonts w:hint="eastAsia"/>
          <w:color w:val="000000" w:themeColor="text1"/>
          <w:sz w:val="28"/>
          <w:szCs w:val="28"/>
        </w:rPr>
        <w:t>建设</w:t>
      </w:r>
      <w:r>
        <w:rPr>
          <w:rFonts w:hint="eastAsia"/>
          <w:color w:val="000000" w:themeColor="text1"/>
          <w:sz w:val="28"/>
          <w:szCs w:val="28"/>
        </w:rPr>
        <w:t>企业协会将在媒体上予以公布，撤消其优秀专利项目，</w:t>
      </w:r>
      <w:proofErr w:type="gramStart"/>
      <w:r>
        <w:rPr>
          <w:rFonts w:hint="eastAsia"/>
          <w:color w:val="000000" w:themeColor="text1"/>
          <w:sz w:val="28"/>
          <w:szCs w:val="28"/>
        </w:rPr>
        <w:t>追回荣誉</w:t>
      </w:r>
      <w:proofErr w:type="gramEnd"/>
      <w:r>
        <w:rPr>
          <w:rFonts w:hint="eastAsia"/>
          <w:color w:val="000000" w:themeColor="text1"/>
          <w:sz w:val="28"/>
          <w:szCs w:val="28"/>
        </w:rPr>
        <w:t>证书和奖牌，被撤销授予优秀专利项目的单位</w:t>
      </w:r>
      <w:proofErr w:type="gramStart"/>
      <w:r>
        <w:rPr>
          <w:rFonts w:hint="eastAsia"/>
          <w:color w:val="000000" w:themeColor="text1"/>
          <w:sz w:val="28"/>
          <w:szCs w:val="28"/>
        </w:rPr>
        <w:t>自项目</w:t>
      </w:r>
      <w:proofErr w:type="gramEnd"/>
      <w:r>
        <w:rPr>
          <w:rFonts w:hint="eastAsia"/>
          <w:color w:val="000000" w:themeColor="text1"/>
          <w:sz w:val="28"/>
          <w:szCs w:val="28"/>
        </w:rPr>
        <w:t>撤销之日起3年内不得再次参加优秀专利的征集活动。</w:t>
      </w:r>
    </w:p>
    <w:p w14:paraId="5F0265DD" w14:textId="77777777" w:rsidR="00346F78" w:rsidRDefault="00346F78">
      <w:pPr>
        <w:spacing w:line="520" w:lineRule="exact"/>
        <w:jc w:val="center"/>
        <w:rPr>
          <w:rFonts w:ascii="宋体" w:eastAsia="宋体" w:hAnsi="宋体" w:cs="宋体" w:hint="eastAsia"/>
          <w:b/>
          <w:bCs/>
          <w:color w:val="000000" w:themeColor="text1"/>
          <w:sz w:val="28"/>
          <w:szCs w:val="28"/>
        </w:rPr>
      </w:pPr>
    </w:p>
    <w:p w14:paraId="7A0AC059" w14:textId="77777777" w:rsidR="00346F78" w:rsidRDefault="00000000">
      <w:pPr>
        <w:spacing w:line="520" w:lineRule="exact"/>
        <w:jc w:val="center"/>
        <w:rPr>
          <w:rFonts w:ascii="宋体" w:eastAsia="宋体" w:hAnsi="宋体" w:cs="宋体" w:hint="eastAsia"/>
          <w:b/>
          <w:bCs/>
          <w:color w:val="000000" w:themeColor="text1"/>
          <w:sz w:val="28"/>
          <w:szCs w:val="28"/>
        </w:rPr>
      </w:pPr>
      <w:r>
        <w:rPr>
          <w:rFonts w:ascii="宋体" w:eastAsia="宋体" w:hAnsi="宋体" w:cs="宋体" w:hint="eastAsia"/>
          <w:b/>
          <w:bCs/>
          <w:color w:val="000000" w:themeColor="text1"/>
          <w:sz w:val="28"/>
          <w:szCs w:val="28"/>
        </w:rPr>
        <w:t>第七章　附 则</w:t>
      </w:r>
    </w:p>
    <w:p w14:paraId="09821A36"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第二十二条 本办法由中国化工建设企业协会专家委员会负责解释。</w:t>
      </w:r>
    </w:p>
    <w:p w14:paraId="5F34311A" w14:textId="77777777" w:rsidR="00346F78" w:rsidRDefault="00000000">
      <w:pPr>
        <w:spacing w:line="520" w:lineRule="exact"/>
        <w:rPr>
          <w:rFonts w:ascii="宋体" w:eastAsia="宋体" w:hAnsi="宋体" w:cs="宋体" w:hint="eastAsia"/>
          <w:color w:val="000000" w:themeColor="text1"/>
          <w:sz w:val="28"/>
          <w:szCs w:val="28"/>
        </w:rPr>
      </w:pPr>
      <w:r>
        <w:rPr>
          <w:rFonts w:ascii="宋体" w:eastAsia="宋体" w:hAnsi="宋体" w:cs="宋体" w:hint="eastAsia"/>
          <w:color w:val="000000" w:themeColor="text1"/>
          <w:sz w:val="28"/>
          <w:szCs w:val="28"/>
        </w:rPr>
        <w:t>第二十三条 本办法自发布之日起施行。</w:t>
      </w:r>
    </w:p>
    <w:p w14:paraId="704CA815" w14:textId="77777777" w:rsidR="00346F78" w:rsidRDefault="00346F78">
      <w:pPr>
        <w:spacing w:line="520" w:lineRule="exact"/>
        <w:ind w:firstLine="560"/>
        <w:rPr>
          <w:rFonts w:ascii="宋体" w:eastAsia="宋体" w:hAnsi="宋体" w:cs="宋体" w:hint="eastAsia"/>
          <w:color w:val="000000" w:themeColor="text1"/>
          <w:sz w:val="28"/>
          <w:szCs w:val="28"/>
        </w:rPr>
      </w:pPr>
    </w:p>
    <w:p w14:paraId="47D90E36" w14:textId="77777777" w:rsidR="00346F78" w:rsidRDefault="00000000">
      <w:pPr>
        <w:spacing w:line="520" w:lineRule="exact"/>
        <w:ind w:firstLine="560"/>
      </w:pPr>
      <w:r>
        <w:rPr>
          <w:rFonts w:ascii="宋体" w:eastAsia="宋体" w:hAnsi="宋体" w:cs="宋体" w:hint="eastAsia"/>
          <w:color w:val="000000" w:themeColor="text1"/>
          <w:sz w:val="28"/>
          <w:szCs w:val="28"/>
        </w:rPr>
        <w:t>附件1：中国化工建设企业协会优秀专利征集活动申报表</w:t>
      </w:r>
    </w:p>
    <w:sectPr w:rsidR="00346F7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8A0C7" w14:textId="77777777" w:rsidR="00164679" w:rsidRDefault="00164679">
      <w:r>
        <w:separator/>
      </w:r>
    </w:p>
  </w:endnote>
  <w:endnote w:type="continuationSeparator" w:id="0">
    <w:p w14:paraId="5EE5ED06" w14:textId="77777777" w:rsidR="00164679" w:rsidRDefault="00164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BF41" w14:textId="77777777" w:rsidR="00346F78" w:rsidRDefault="00000000">
    <w:pPr>
      <w:pStyle w:val="a3"/>
    </w:pPr>
    <w:r>
      <w:rPr>
        <w:noProof/>
      </w:rPr>
      <mc:AlternateContent>
        <mc:Choice Requires="wps">
          <w:drawing>
            <wp:anchor distT="0" distB="0" distL="114300" distR="114300" simplePos="0" relativeHeight="251659264" behindDoc="0" locked="0" layoutInCell="1" allowOverlap="1" wp14:anchorId="3531824B" wp14:editId="4760558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BD2308" w14:textId="77777777" w:rsidR="00346F78" w:rsidRDefault="00000000">
                          <w:pPr>
                            <w:pStyle w:val="a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3531824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5BD2308" w14:textId="77777777" w:rsidR="00346F78"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8D38" w14:textId="77777777" w:rsidR="00164679" w:rsidRDefault="00164679">
      <w:r>
        <w:separator/>
      </w:r>
    </w:p>
  </w:footnote>
  <w:footnote w:type="continuationSeparator" w:id="0">
    <w:p w14:paraId="731AB346" w14:textId="77777777" w:rsidR="00164679" w:rsidRDefault="00164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3FA689"/>
    <w:multiLevelType w:val="singleLevel"/>
    <w:tmpl w:val="AA3FA689"/>
    <w:lvl w:ilvl="0">
      <w:start w:val="1"/>
      <w:numFmt w:val="chineseCounting"/>
      <w:suff w:val="space"/>
      <w:lvlText w:val="第%1条"/>
      <w:lvlJc w:val="left"/>
      <w:rPr>
        <w:rFonts w:hint="eastAsia"/>
      </w:rPr>
    </w:lvl>
  </w:abstractNum>
  <w:abstractNum w:abstractNumId="1" w15:restartNumberingAfterBreak="0">
    <w:nsid w:val="E00A9447"/>
    <w:multiLevelType w:val="singleLevel"/>
    <w:tmpl w:val="E00A9447"/>
    <w:lvl w:ilvl="0">
      <w:start w:val="1"/>
      <w:numFmt w:val="chineseCounting"/>
      <w:suff w:val="space"/>
      <w:lvlText w:val="第%1章"/>
      <w:lvlJc w:val="left"/>
      <w:rPr>
        <w:rFonts w:hint="eastAsia"/>
      </w:rPr>
    </w:lvl>
  </w:abstractNum>
  <w:abstractNum w:abstractNumId="2" w15:restartNumberingAfterBreak="0">
    <w:nsid w:val="F1C444E8"/>
    <w:multiLevelType w:val="singleLevel"/>
    <w:tmpl w:val="F1C444E8"/>
    <w:lvl w:ilvl="0">
      <w:start w:val="1"/>
      <w:numFmt w:val="chineseCounting"/>
      <w:suff w:val="nothing"/>
      <w:lvlText w:val="（%1）"/>
      <w:lvlJc w:val="left"/>
      <w:rPr>
        <w:rFonts w:hint="eastAsia"/>
      </w:rPr>
    </w:lvl>
  </w:abstractNum>
  <w:abstractNum w:abstractNumId="3" w15:restartNumberingAfterBreak="0">
    <w:nsid w:val="6C697C25"/>
    <w:multiLevelType w:val="singleLevel"/>
    <w:tmpl w:val="6C697C25"/>
    <w:lvl w:ilvl="0">
      <w:start w:val="1"/>
      <w:numFmt w:val="chineseCounting"/>
      <w:suff w:val="nothing"/>
      <w:lvlText w:val="（%1）"/>
      <w:lvlJc w:val="left"/>
      <w:rPr>
        <w:rFonts w:hint="eastAsia"/>
      </w:rPr>
    </w:lvl>
  </w:abstractNum>
  <w:abstractNum w:abstractNumId="4" w15:restartNumberingAfterBreak="0">
    <w:nsid w:val="6CE0C5FA"/>
    <w:multiLevelType w:val="singleLevel"/>
    <w:tmpl w:val="6CE0C5FA"/>
    <w:lvl w:ilvl="0">
      <w:start w:val="1"/>
      <w:numFmt w:val="chineseCounting"/>
      <w:suff w:val="nothing"/>
      <w:lvlText w:val="（%1）"/>
      <w:lvlJc w:val="left"/>
      <w:rPr>
        <w:rFonts w:hint="eastAsia"/>
      </w:rPr>
    </w:lvl>
  </w:abstractNum>
  <w:num w:numId="1" w16cid:durableId="1734548228">
    <w:abstractNumId w:val="1"/>
  </w:num>
  <w:num w:numId="2" w16cid:durableId="1420787657">
    <w:abstractNumId w:val="0"/>
  </w:num>
  <w:num w:numId="3" w16cid:durableId="2123649897">
    <w:abstractNumId w:val="2"/>
  </w:num>
  <w:num w:numId="4" w16cid:durableId="104469916">
    <w:abstractNumId w:val="4"/>
  </w:num>
  <w:num w:numId="5" w16cid:durableId="21173592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YxZTMwN2VmMDEzMTYwYjIzMmJlYWM2OTQzZmEwMTgifQ=="/>
  </w:docVars>
  <w:rsids>
    <w:rsidRoot w:val="00346F78"/>
    <w:rsid w:val="001430AE"/>
    <w:rsid w:val="00164679"/>
    <w:rsid w:val="00230D20"/>
    <w:rsid w:val="00346F78"/>
    <w:rsid w:val="00B86F77"/>
    <w:rsid w:val="07C350FE"/>
    <w:rsid w:val="112D2D43"/>
    <w:rsid w:val="13451652"/>
    <w:rsid w:val="16423BF6"/>
    <w:rsid w:val="223A41F0"/>
    <w:rsid w:val="224B0307"/>
    <w:rsid w:val="2CFC02AF"/>
    <w:rsid w:val="302B5483"/>
    <w:rsid w:val="3047207C"/>
    <w:rsid w:val="663C37BC"/>
    <w:rsid w:val="749F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C588B"/>
  <w15:docId w15:val="{52C8C1E8-C485-44FA-B7F7-8EAED64F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footer" w:unhideWhenUsed="1" w:qFormat="1"/>
    <w:lsdException w:name="caption" w:semiHidden="1" w:unhideWhenUsed="1" w:qFormat="1"/>
    <w:lsdException w:name="footnote reference" w:semiHidden="1" w:qFormat="1"/>
    <w:lsdException w:name="Title" w:qFormat="1"/>
    <w:lsdException w:name="Default Paragraph Font" w:semiHidden="1" w:qFormat="1"/>
    <w:lsdException w:name="Subtitle" w:qFormat="1"/>
    <w:lsdException w:name="Hyperlink"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szCs w:val="18"/>
    </w:rPr>
  </w:style>
  <w:style w:type="paragraph" w:styleId="a4">
    <w:name w:val="footnote text"/>
    <w:basedOn w:val="a"/>
    <w:semiHidden/>
    <w:qFormat/>
    <w:pPr>
      <w:snapToGrid w:val="0"/>
      <w:jc w:val="left"/>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qFormat/>
    <w:rPr>
      <w:color w:val="0000FF"/>
      <w:u w:val="single"/>
    </w:rPr>
  </w:style>
  <w:style w:type="character" w:styleId="a7">
    <w:name w:val="footnote reference"/>
    <w:basedOn w:val="a0"/>
    <w:semiHidden/>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aike.sogou.com/lemma/ShowInnerLink.htm?lemmaId=317823&amp;ss_c=ssc.citiao.li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1212</Words>
  <Characters>1226</Characters>
  <Application>Microsoft Office Word</Application>
  <DocSecurity>0</DocSecurity>
  <Lines>64</Lines>
  <Paragraphs>59</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s60281223@126.com</cp:lastModifiedBy>
  <cp:revision>2</cp:revision>
  <dcterms:created xsi:type="dcterms:W3CDTF">2014-10-29T12:08:00Z</dcterms:created>
  <dcterms:modified xsi:type="dcterms:W3CDTF">2025-12-24T06:34:00Z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EA9AF5B2F5B143E9B8E9EAA7FE004EAE</vt:lpwstr>
  </property>
</Properties>
</file>