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20" w:lineRule="exact"/>
        <w:jc w:val="both"/>
        <w:rPr>
          <w:rFonts w:hint="default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8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after="0" w:line="520" w:lineRule="exact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中国化工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企业协会</w:t>
      </w:r>
    </w:p>
    <w:p>
      <w:pPr>
        <w:pStyle w:val="2"/>
        <w:spacing w:before="0" w:after="0" w:line="520" w:lineRule="exact"/>
        <w:jc w:val="center"/>
        <w:rPr>
          <w:rFonts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推荐管理办法</w:t>
      </w:r>
    </w:p>
    <w:p>
      <w:pPr>
        <w:spacing w:line="520" w:lineRule="exact"/>
        <w:jc w:val="center"/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20" w:lineRule="exact"/>
        <w:jc w:val="center"/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20" w:lineRule="exact"/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则</w:t>
      </w:r>
    </w:p>
    <w:p>
      <w:pPr>
        <w:numPr>
          <w:ilvl w:val="0"/>
          <w:numId w:val="2"/>
        </w:numPr>
        <w:spacing w:line="520" w:lineRule="exac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为鼓励和调动化工建设行业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广大工程技术人员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发明创造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积极性，推动行业的技术进步，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加快化工建设行业知识产权实施与转化，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提升科技成果的转化能力，鼓励和表彰为技术（设计）创新及经济社会发展做出突出贡献的专利权人和发明人（设计人）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中国化工施工企业协会开展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的征集、推介和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推荐活动，特制定本办法。</w:t>
      </w:r>
    </w:p>
    <w:p>
      <w:pPr>
        <w:numPr>
          <w:ilvl w:val="0"/>
          <w:numId w:val="2"/>
        </w:num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本办法适用于化工建设行业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的申报、评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、推荐及管理。</w:t>
      </w:r>
    </w:p>
    <w:p>
      <w:pPr>
        <w:numPr>
          <w:ilvl w:val="0"/>
          <w:numId w:val="2"/>
        </w:numPr>
        <w:spacing w:line="520" w:lineRule="exac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每年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一次。</w:t>
      </w:r>
    </w:p>
    <w:p>
      <w:pPr>
        <w:pStyle w:val="5"/>
        <w:spacing w:before="0" w:beforeAutospacing="0" w:after="0" w:afterAutospacing="0" w:line="520" w:lineRule="exact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中国化工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企业协会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专家委员会负责组织开展优秀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的评价及推荐工作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，协会秘书处负责日常组织协调工作。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第二章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条件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征集的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专利应当符合以下条件：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520" w:lineRule="exact"/>
        <w:ind w:firstLine="560" w:firstLine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在上年度12月31日前（含12月31日，以授权公告日为准）被国家知识产权局授予发明、实用新型专利权（含已解密国防专利，不含保密专利）；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520" w:lineRule="exact"/>
        <w:ind w:firstLine="560" w:firstLine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该专利权属于申报单位；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520" w:lineRule="exact"/>
        <w:ind w:firstLine="560" w:firstLine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专利权有效，在申报截止日前无法律纠纷；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520" w:lineRule="exact"/>
        <w:ind w:firstLine="560" w:firstLine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全体专利权人均同意参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加征集活动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520" w:lineRule="exact"/>
        <w:ind w:firstLine="560" w:firstLine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未获得过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专利奖；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520" w:lineRule="exact"/>
        <w:ind w:firstLine="560" w:firstLine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一项专利作为一个项目参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加征集活动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520" w:lineRule="exact"/>
        <w:ind w:firstLine="560" w:firstLine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相同专利权人在一个年度内参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加征集活动的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项目不超过2项。</w:t>
      </w:r>
    </w:p>
    <w:p>
      <w:pPr>
        <w:pStyle w:val="5"/>
        <w:spacing w:before="0" w:beforeAutospacing="0" w:after="0" w:afterAutospacing="0" w:line="520" w:lineRule="exact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该专利已由申报单位实施或者许可他人实施，在技术创新和实际运用环节创造出显著经济效益和社会效益，具有广泛的推广应用价值，推动行业技术进步作用明显。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本协会的会员单位，均可参加专利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活动。</w:t>
      </w:r>
    </w:p>
    <w:p>
      <w:pPr>
        <w:pStyle w:val="5"/>
        <w:spacing w:before="0" w:beforeAutospacing="0" w:after="0" w:afterAutospacing="0" w:line="520" w:lineRule="exact"/>
        <w:jc w:val="center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第三章 评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标准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专利按照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专利质量、技术先进性、运用及保护措施和成效、社会效益及发展前景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等方面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综合评价。</w:t>
      </w:r>
    </w:p>
    <w:p>
      <w:pPr>
        <w:pStyle w:val="5"/>
        <w:spacing w:before="0" w:beforeAutospacing="0" w:after="0" w:afterAutospacing="0" w:line="520" w:lineRule="exact"/>
        <w:jc w:val="both"/>
        <w:rPr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pacing w:val="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专利评价指标及权重：</w:t>
      </w:r>
    </w:p>
    <w:p>
      <w:pPr>
        <w:pStyle w:val="5"/>
        <w:numPr>
          <w:ilvl w:val="0"/>
          <w:numId w:val="4"/>
        </w:numPr>
        <w:spacing w:before="0" w:beforeAutospacing="0" w:after="0" w:afterAutospacing="0" w:line="520" w:lineRule="exact"/>
        <w:ind w:firstLine="592" w:firstLineChars="200"/>
        <w:jc w:val="both"/>
        <w:rPr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专利质量（25%）。评价：1.新颖性、创造性、实用性；2.文本质量；</w:t>
      </w:r>
    </w:p>
    <w:p>
      <w:pPr>
        <w:pStyle w:val="5"/>
        <w:numPr>
          <w:ilvl w:val="0"/>
          <w:numId w:val="4"/>
        </w:numPr>
        <w:spacing w:before="0" w:beforeAutospacing="0" w:after="0" w:afterAutospacing="0" w:line="520" w:lineRule="exact"/>
        <w:ind w:firstLine="592" w:firstLineChars="200"/>
        <w:jc w:val="both"/>
        <w:rPr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技术先进性（25%）。评价：1.原创性及重要性；2.相比当前同类技术的优缺点；3.专利技术的通用性；</w:t>
      </w:r>
    </w:p>
    <w:p>
      <w:pPr>
        <w:pStyle w:val="5"/>
        <w:numPr>
          <w:ilvl w:val="0"/>
          <w:numId w:val="4"/>
        </w:numPr>
        <w:spacing w:before="0" w:beforeAutospacing="0" w:after="0" w:afterAutospacing="0" w:line="520" w:lineRule="exact"/>
        <w:ind w:firstLine="592" w:firstLineChars="200"/>
        <w:jc w:val="both"/>
        <w:rPr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运用及保护措施和成效（35%）。评价：1.专利运用及保护措施；2.经济效益及市场份额；</w:t>
      </w:r>
    </w:p>
    <w:p>
      <w:pPr>
        <w:pStyle w:val="5"/>
        <w:numPr>
          <w:ilvl w:val="0"/>
          <w:numId w:val="4"/>
        </w:numPr>
        <w:spacing w:before="0" w:beforeAutospacing="0" w:after="0" w:afterAutospacing="0" w:line="520" w:lineRule="exact"/>
        <w:ind w:firstLine="592" w:firstLineChars="200"/>
        <w:jc w:val="both"/>
        <w:rPr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社会效益及发展前景（15%）。评价：1.社会效益；2.行业影响力；3.政策适应性。</w:t>
      </w:r>
    </w:p>
    <w:p>
      <w:pPr>
        <w:pStyle w:val="5"/>
        <w:spacing w:before="0" w:beforeAutospacing="0" w:after="0" w:afterAutospacing="0" w:line="520" w:lineRule="exact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优秀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专利的评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标准：</w:t>
      </w:r>
    </w:p>
    <w:p>
      <w:pPr>
        <w:pStyle w:val="5"/>
        <w:spacing w:before="0" w:beforeAutospacing="0" w:after="0" w:afterAutospacing="0" w:line="520" w:lineRule="exact"/>
        <w:ind w:firstLine="48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（一）发明专利具有技术方案新颖、创新性强、技术水平高等特点，对促进本领域的技术进步与创新有突出作用；</w:t>
      </w:r>
    </w:p>
    <w:p>
      <w:pPr>
        <w:pStyle w:val="5"/>
        <w:spacing w:before="0" w:beforeAutospacing="0" w:after="0" w:afterAutospacing="0" w:line="520" w:lineRule="exact"/>
        <w:ind w:firstLine="48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（二）该专利对于提升相关产品及申报单位的市场竞争力发挥了重要作用，取得了突出的经济效益和社会效益；</w:t>
      </w:r>
    </w:p>
    <w:p>
      <w:pPr>
        <w:pStyle w:val="5"/>
        <w:spacing w:before="0" w:beforeAutospacing="0" w:after="0" w:afterAutospacing="0" w:line="520" w:lineRule="exact"/>
        <w:ind w:firstLine="48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（三）申报单位对于该专利的运用和保护采取了积极措施，取得了显著成效。</w:t>
      </w:r>
    </w:p>
    <w:p>
      <w:pPr>
        <w:pStyle w:val="5"/>
        <w:spacing w:before="0" w:beforeAutospacing="0" w:after="0" w:afterAutospacing="0" w:line="520" w:lineRule="exact"/>
        <w:jc w:val="both"/>
        <w:rPr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专利实行总量控制原则：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每年遴选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20项优秀专利在协会年度科技创新大会进行推介。</w:t>
      </w:r>
    </w:p>
    <w:p>
      <w:pPr>
        <w:pStyle w:val="5"/>
        <w:spacing w:before="0" w:beforeAutospacing="0" w:after="0" w:afterAutospacing="0" w:line="520" w:lineRule="exact"/>
        <w:jc w:val="center"/>
        <w:rPr>
          <w:rFonts w:hint="eastAsia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第四章</w:t>
      </w:r>
      <w:r>
        <w:rPr>
          <w:rFonts w:hint="eastAsia"/>
          <w:b/>
          <w:bCs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申报程序</w:t>
      </w:r>
    </w:p>
    <w:p>
      <w:pPr>
        <w:pStyle w:val="5"/>
        <w:spacing w:before="0" w:beforeAutospacing="0" w:after="0" w:afterAutospacing="0" w:line="520" w:lineRule="exact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优秀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坚持“协会组织，自愿申报，专家评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，择优推荐”的原则。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材料报送</w:t>
      </w:r>
    </w:p>
    <w:p>
      <w:pPr>
        <w:numPr>
          <w:ilvl w:val="0"/>
          <w:numId w:val="5"/>
        </w:num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专利申报应填写统一格式的《中国化工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企业协会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征集活动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》（WORD文档）；</w:t>
      </w:r>
    </w:p>
    <w:p>
      <w:pPr>
        <w:numPr>
          <w:ilvl w:val="0"/>
          <w:numId w:val="5"/>
        </w:num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项目申报资料1份（电子件），每个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项目包含：①中国专利奖申报书（WORD文档）【说明：推荐参评中国专利奖的项目需填报此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申报书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】；②附件，如图片、照片、获奖证书、项目应用证明等材料扫描件，所有附件应嵌入一个PDF文档，大小不超过20M；③专利授权文本（PDF文档）；</w:t>
      </w:r>
    </w:p>
    <w:p>
      <w:pPr>
        <w:numPr>
          <w:ilvl w:val="0"/>
          <w:numId w:val="5"/>
        </w:num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所有项目的电子件存储在一个U盘中，并用标签标注申报单位名称（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每个项目单独制成一个独立的文件夹并以专利号命名）；</w:t>
      </w:r>
    </w:p>
    <w:p>
      <w:pPr>
        <w:numPr>
          <w:ilvl w:val="0"/>
          <w:numId w:val="5"/>
        </w:num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申报单位的身份证明材料（企业单位提供营业执照、税务登记证和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"https://baike.sogou.com/lemma/ShowInnerLink.htm?lemmaId=317823&amp;ss_c=ssc.citiao.link" \t "_blank"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组织机构代码证</w:t>
      </w:r>
      <w:r>
        <w:rPr>
          <w:rStyle w:val="8"/>
          <w:rFonts w:hint="eastAsia" w:ascii="宋体" w:hAnsi="宋体" w:eastAsia="宋体" w:cs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，事业单位提供法人证书和组织机构代码证）；</w:t>
      </w:r>
    </w:p>
    <w:p>
      <w:pPr>
        <w:numPr>
          <w:ilvl w:val="0"/>
          <w:numId w:val="5"/>
        </w:num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申报单位通过实施或者许可实施参加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征集活动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的专利取得的经济效益和社会效益的证明材料。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第五章 评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程序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形式审查。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协会秘书处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依据本办法对申报材料进行形式审查，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提出初审意见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对不符合要求的申报材料，要求申报单位在规定时间内补正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对逾期未补正或者经补正申报材料仍不符合要求的项目，不予提交评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委员会根据形式审查的情况，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遴选行业内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相关专家组成评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组，同时选择一家国内专业咨询公司，分别对通过形式审查的专利项目进行评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打分，提出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优秀专利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候选建议名单。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（一）专家评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委员会从化工工程建设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高级专家库中遴选专家，组成若干评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小组，对通过形式审查的专利进行评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打分，提出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候选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建议名单。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（二）专业咨询公司评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。聘请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专业咨询公司对申报专利进行评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打分，提出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候选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建议名单。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协会秘书处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对专家及专业咨询公司的打分进行汇总，按照专家打分占70%、专业咨询公司打分占30%的权重，进行打分排名，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根据打分排名结果及专家和专业咨询公司提出的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候选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建议名单，进行综合评议，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向专家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委员会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候选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推荐报告。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审定。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委员会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召开审定会议，对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协会秘书处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候选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推荐报告进行审议审定,最终确定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优秀专利评价结果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,并确定推荐中国专利奖名单。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第六章 奖励与推广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审定通过的专利，中国化工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企业协会发文公布评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结果，在官方网站上公告，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优秀专利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者颁发荣誉证书和奖牌。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专利项目在协会年度科技创新大会上进行宣传推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优秀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实行回避制度，与被评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价项目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的完成人、完成单位或者申报项目有利害关系的专家应当回避。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第二十条 参与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及相关工作人员应当对申报项目的技术内容及评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情况严格保守秘密。</w:t>
      </w:r>
    </w:p>
    <w:p>
      <w:pPr>
        <w:pStyle w:val="5"/>
        <w:spacing w:before="0" w:beforeAutospacing="0" w:after="0" w:afterAutospacing="0" w:line="520" w:lineRule="exact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弄虚作假，采取不正当手段骗取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优秀专利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的，中国化工施工企业协会将在媒体上予以公布，撤消其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优秀专利项目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，追回荣誉证书和奖牌，被撤销授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予优秀专利项目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的单位自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撤销之日起3年内不得再次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参加优秀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的征集活动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第七章　附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则</w:t>
      </w:r>
    </w:p>
    <w:p>
      <w:pPr>
        <w:spacing w:line="52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本办法由中国化工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企业协会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委员会负责解释。</w:t>
      </w:r>
    </w:p>
    <w:p>
      <w:pPr>
        <w:spacing w:line="520" w:lineRule="exac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自发布之日起施行。</w:t>
      </w:r>
    </w:p>
    <w:p>
      <w:pPr>
        <w:spacing w:line="520" w:lineRule="exact"/>
        <w:ind w:firstLine="56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560"/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中国化工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建设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企业协会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征集活动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FA689"/>
    <w:multiLevelType w:val="singleLevel"/>
    <w:tmpl w:val="AA3FA689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E00A9447"/>
    <w:multiLevelType w:val="singleLevel"/>
    <w:tmpl w:val="E00A9447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F1C444E8"/>
    <w:multiLevelType w:val="singleLevel"/>
    <w:tmpl w:val="F1C444E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C697C25"/>
    <w:multiLevelType w:val="singleLevel"/>
    <w:tmpl w:val="6C697C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CE0C5FA"/>
    <w:multiLevelType w:val="singleLevel"/>
    <w:tmpl w:val="6CE0C5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MwN2VmMDEzMTYwYjIzMmJlYWM2OTQzZmEwMTgifQ=="/>
  </w:docVars>
  <w:rsids>
    <w:rsidRoot w:val="00000000"/>
    <w:rsid w:val="07C350FE"/>
    <w:rsid w:val="112D2D43"/>
    <w:rsid w:val="13451652"/>
    <w:rsid w:val="16423BF6"/>
    <w:rsid w:val="223A41F0"/>
    <w:rsid w:val="224B0307"/>
    <w:rsid w:val="2CFC02AF"/>
    <w:rsid w:val="302B5483"/>
    <w:rsid w:val="3047207C"/>
    <w:rsid w:val="663C37BC"/>
    <w:rsid w:val="749F4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footnote reference"/>
    <w:basedOn w:val="7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2024-01-09T02:34:27Z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EA9AF5B2F5B143E9B8E9EAA7FE004EAE</vt:lpwstr>
  </property>
</Properties>
</file>